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4A017" w14:textId="77777777" w:rsidR="00775210" w:rsidRDefault="00952CEA" w:rsidP="00775210">
      <w:pPr>
        <w:pStyle w:val="Ttulo1"/>
        <w:rPr>
          <w:highlight w:val="yellow"/>
          <w:lang w:val="es-ES"/>
        </w:rPr>
      </w:pPr>
      <w:r w:rsidRPr="00BA16F2">
        <w:rPr>
          <w:highlight w:val="yellow"/>
          <w:lang w:val="es-ES"/>
        </w:rPr>
        <w:t xml:space="preserve">Caso 1 </w:t>
      </w:r>
    </w:p>
    <w:p w14:paraId="2FDE86CC" w14:textId="77777777" w:rsidR="00952CEA" w:rsidRPr="00BA16F2" w:rsidRDefault="00952CEA" w:rsidP="00952CEA">
      <w:pPr>
        <w:rPr>
          <w:rFonts w:cs="Times New Roman"/>
          <w:b/>
          <w:szCs w:val="24"/>
          <w:lang w:val="es-ES"/>
        </w:rPr>
      </w:pPr>
      <w:r w:rsidRPr="00BA16F2">
        <w:rPr>
          <w:rFonts w:cs="Times New Roman"/>
          <w:b/>
          <w:szCs w:val="24"/>
          <w:highlight w:val="yellow"/>
          <w:lang w:val="es-ES"/>
        </w:rPr>
        <w:t>Caso de transferencia ética</w:t>
      </w:r>
    </w:p>
    <w:p w14:paraId="06E5FE14" w14:textId="77777777" w:rsidR="00952CEA" w:rsidRPr="00BA16F2" w:rsidRDefault="00952CEA" w:rsidP="00952CEA">
      <w:pPr>
        <w:rPr>
          <w:rFonts w:eastAsia="Times New Roman" w:cs="Times New Roman"/>
          <w:szCs w:val="24"/>
          <w:lang w:val="es-ES"/>
        </w:rPr>
      </w:pPr>
      <w:r w:rsidRPr="00BA16F2">
        <w:rPr>
          <w:rFonts w:eastAsia="Times New Roman" w:cs="Times New Roman"/>
          <w:szCs w:val="24"/>
          <w:lang w:val="es-ES"/>
        </w:rPr>
        <w:t xml:space="preserve">Calentar con leña es una tradición arraigada y práctica en las zonas boscosas, y está resurgiendo en Maine. Un mayor porcentaje de hogares en Maine utiliza la leña como fuente principal de calefacción (un 14%) </w:t>
      </w:r>
      <w:proofErr w:type="gramStart"/>
      <w:r w:rsidRPr="00BA16F2">
        <w:rPr>
          <w:rFonts w:eastAsia="Times New Roman" w:cs="Times New Roman"/>
          <w:szCs w:val="24"/>
          <w:lang w:val="es-ES"/>
        </w:rPr>
        <w:t>que</w:t>
      </w:r>
      <w:proofErr w:type="gramEnd"/>
      <w:r w:rsidRPr="00BA16F2">
        <w:rPr>
          <w:rFonts w:eastAsia="Times New Roman" w:cs="Times New Roman"/>
          <w:szCs w:val="24"/>
          <w:lang w:val="es-ES"/>
        </w:rPr>
        <w:t xml:space="preserve"> en cualquier otro estado, con la excepción de Vermont. Se estima que el 50 % de los hogares de Maine también la utilizan como fuente de calefacción complementaria. Esta tendencia es útil para reducir las costosas facturas de gasóleo, pero no para mejorar la calidad del aire. Las estufas de leña convencionales emiten más contaminantes que agravan el asma y otras afecciones respiratorias que los sistemas de calefacción de gasóleo y gas a los que pretenden complementar o sustituir.</w:t>
      </w:r>
    </w:p>
    <w:p w14:paraId="4051010F" w14:textId="77777777" w:rsidR="00952CEA" w:rsidRPr="00BA16F2" w:rsidRDefault="00952CEA" w:rsidP="00952CEA">
      <w:pPr>
        <w:rPr>
          <w:rFonts w:eastAsia="Times New Roman" w:cs="Times New Roman"/>
          <w:szCs w:val="24"/>
          <w:lang w:val="es-ES"/>
        </w:rPr>
      </w:pPr>
      <w:r w:rsidRPr="00BA16F2">
        <w:rPr>
          <w:rFonts w:eastAsia="Times New Roman" w:cs="Times New Roman"/>
          <w:szCs w:val="24"/>
          <w:lang w:val="es-ES"/>
        </w:rPr>
        <w:t>Hace veintiséis años, la Agencia de Protección Ambiental de Estados Unidos (EPA) estableció estándares de emisiones para estufas de leña en 7,5 gramos por hora. Algunos estados ya han establecido estándares más estrictos, como los 4,5 gramos por hora de Washington. Varios estados, sin incluir Maine, han presentado una demanda contra la EPA por no actualizar sus estándares obsoletos para la calefacción residencial con leña. Como resultado, la EPA ha propuesto un nuevo estándar para 2019: 1,3 gramos por hora. Este nivel es incluso inferior al alcanzado por uno de los principales diseñadores de estufas de Maine, quien acaba de completar un rediseño integral para mejorar la eficiencia y la calidad del aire en una nueva estufa de leña, que aún emitía 2,3 gramos por hora.</w:t>
      </w:r>
    </w:p>
    <w:p w14:paraId="7EA27456" w14:textId="77777777" w:rsidR="00952CEA" w:rsidRPr="00BA16F2" w:rsidRDefault="00952CEA" w:rsidP="00952CEA">
      <w:pPr>
        <w:rPr>
          <w:rFonts w:eastAsia="Times New Roman" w:cs="Times New Roman"/>
          <w:szCs w:val="24"/>
          <w:lang w:val="es-ES"/>
        </w:rPr>
      </w:pPr>
      <w:r w:rsidRPr="00BA16F2">
        <w:rPr>
          <w:rFonts w:eastAsia="Times New Roman" w:cs="Times New Roman"/>
          <w:szCs w:val="24"/>
          <w:lang w:val="es-ES"/>
        </w:rPr>
        <w:t xml:space="preserve">Actualmente, hay al menos 7 millones de estufas de tecnología antigua en uso en todo Estados Unidos. El año pasado, se vendieron menos de 74.000 unidades nuevas en todo el país. Una estufa de leña bien construida dura generaciones, por lo que incluso si la EPA </w:t>
      </w:r>
      <w:r w:rsidRPr="00BA16F2">
        <w:rPr>
          <w:rFonts w:eastAsia="Times New Roman" w:cs="Times New Roman"/>
          <w:szCs w:val="24"/>
          <w:lang w:val="es-ES"/>
        </w:rPr>
        <w:lastRenderedPageBreak/>
        <w:t xml:space="preserve">decide endurecer las regulaciones, reemplazar todas las estufas antiguas por modelos más limpios llevará algún tiempo. </w:t>
      </w:r>
    </w:p>
    <w:p w14:paraId="395609EB" w14:textId="77777777" w:rsidR="00952CEA" w:rsidRPr="00BA16F2" w:rsidRDefault="00952CEA" w:rsidP="00DD7816">
      <w:pPr>
        <w:rPr>
          <w:lang w:val="es-ES"/>
        </w:rPr>
      </w:pPr>
      <w:r w:rsidRPr="00BA16F2">
        <w:rPr>
          <w:lang w:val="es-ES"/>
        </w:rPr>
        <w:t xml:space="preserve">Además, un fabricante de estufas de leña estimó que costará casi 1 millón rediseñar sus estufas para que cumplan con los estándares de 2019 y podría aumentar el costo. 300 créditos a las personas que cambiaron su estufa vieja por una nueva, que se vende entre 1000 y 3000. Estos compradores también obtuvieron un reembolso federal de 300. Este reembolso federal expiró en 2014, aunque algunos reembolsos son más de 250 reembolso de </w:t>
      </w:r>
      <w:proofErr w:type="spellStart"/>
      <w:r w:rsidRPr="00BA16F2">
        <w:rPr>
          <w:lang w:val="es-ES"/>
        </w:rPr>
        <w:t>Efficiency</w:t>
      </w:r>
      <w:proofErr w:type="spellEnd"/>
      <w:r w:rsidRPr="00BA16F2">
        <w:rPr>
          <w:lang w:val="es-ES"/>
        </w:rPr>
        <w:t xml:space="preserve"> Maine.</w:t>
      </w:r>
    </w:p>
    <w:p w14:paraId="34C74DD2" w14:textId="77777777" w:rsidR="00952CEA" w:rsidRPr="00BA16F2" w:rsidRDefault="00952CEA" w:rsidP="00F35B9A">
      <w:pPr>
        <w:rPr>
          <w:rFonts w:cs="Times New Roman"/>
          <w:szCs w:val="24"/>
          <w:lang w:val="es-ES"/>
        </w:rPr>
      </w:pPr>
      <w:r w:rsidRPr="00BA16F2">
        <w:rPr>
          <w:rFonts w:cs="Times New Roman"/>
          <w:szCs w:val="24"/>
          <w:lang w:val="es-ES"/>
        </w:rPr>
        <w:t>Tanto ingenieros como legisladores se enfrentan a complejas decisiones éticas en este caso. Imagínese que usted es el ingeniero jefe de uno de los principales fabricantes de estufas de leña del estado de Maine y consultor de la EPA. ¿Cómo razonaría para asesorar a su empresa sobre la mejor opción ética? Para obtener más información sobre este caso, visite:</w:t>
      </w:r>
    </w:p>
    <w:p w14:paraId="5D0135C6" w14:textId="77777777" w:rsidR="00571BC9" w:rsidRPr="00BA16F2" w:rsidRDefault="00952CEA" w:rsidP="00F35B9A">
      <w:pPr>
        <w:rPr>
          <w:rFonts w:cs="Times New Roman"/>
          <w:szCs w:val="24"/>
          <w:lang w:val="es-ES"/>
        </w:rPr>
      </w:pPr>
      <w:r w:rsidRPr="00BA16F2">
        <w:rPr>
          <w:rFonts w:cs="Times New Roman"/>
          <w:b/>
          <w:szCs w:val="24"/>
          <w:lang w:val="es-ES"/>
        </w:rPr>
        <w:t>Tarea:</w:t>
      </w:r>
      <w:r w:rsidRPr="00BA16F2">
        <w:rPr>
          <w:rFonts w:cs="Times New Roman"/>
          <w:szCs w:val="24"/>
          <w:lang w:val="es-ES"/>
        </w:rPr>
        <w:t xml:space="preserve"> Crea un diagrama o diagrama de flujo de tu proceso de pensamiento que te llevó a tu conclusión y la respalda. (1) Junto con tu visualización, describe cada uno de los pasos que seguiste para llegar a tu decisión. (2) Proporciona una breve explicación de por qué seguiste estos pasos para tomar tu decisión. (3) ¿Necesitarías alguna otra información para mejorar tu decisión? Si es así, ¿cuál es y cómo la obtendrías? (4) Identifica cualquier fuente externa que hayas utilizado para informar y respaldar tu decisión y cómo obtuviste estos materiales.</w:t>
      </w:r>
    </w:p>
    <w:p w14:paraId="1278C785" w14:textId="77777777" w:rsidR="00822C42" w:rsidRDefault="00822C42">
      <w:pPr>
        <w:spacing w:after="160" w:line="259" w:lineRule="auto"/>
        <w:ind w:firstLine="0"/>
        <w:jc w:val="left"/>
        <w:rPr>
          <w:rFonts w:cs="Times New Roman"/>
          <w:szCs w:val="24"/>
          <w:lang w:val="es-ES"/>
        </w:rPr>
      </w:pPr>
      <w:r>
        <w:rPr>
          <w:rFonts w:cs="Times New Roman"/>
          <w:szCs w:val="24"/>
          <w:lang w:val="es-ES"/>
        </w:rPr>
        <w:br w:type="page"/>
      </w:r>
    </w:p>
    <w:p w14:paraId="3E8B03F2" w14:textId="77777777" w:rsidR="00085A93" w:rsidRPr="00BA16F2" w:rsidRDefault="00085A93" w:rsidP="00F35B9A">
      <w:pPr>
        <w:rPr>
          <w:rFonts w:cs="Times New Roman"/>
          <w:szCs w:val="24"/>
          <w:lang w:val="es-ES"/>
        </w:rPr>
      </w:pPr>
      <w:r w:rsidRPr="00BA16F2">
        <w:rPr>
          <w:rFonts w:cs="Times New Roman"/>
          <w:szCs w:val="24"/>
          <w:lang w:val="es-ES"/>
        </w:rPr>
        <w:lastRenderedPageBreak/>
        <w:t>El caso obliga al estudiante a analizar una decisión de ingeniería que involucra múltiples dimensiones éticas y profesionales:</w:t>
      </w:r>
    </w:p>
    <w:p w14:paraId="76233174" w14:textId="77777777" w:rsidR="00085A93" w:rsidRPr="00BA16F2" w:rsidRDefault="00085A93" w:rsidP="00F35B9A">
      <w:pPr>
        <w:rPr>
          <w:rFonts w:cs="Times New Roman"/>
          <w:b/>
          <w:szCs w:val="24"/>
          <w:lang w:val="es-ES"/>
        </w:rPr>
      </w:pPr>
      <w:r w:rsidRPr="00BA16F2">
        <w:rPr>
          <w:rFonts w:cs="Times New Roman"/>
          <w:b/>
          <w:szCs w:val="24"/>
          <w:lang w:val="es-ES"/>
        </w:rPr>
        <w:t>1. Responsabilidad hacia la salud pública</w:t>
      </w:r>
    </w:p>
    <w:p w14:paraId="3F2D277A" w14:textId="77777777" w:rsidR="00085A93" w:rsidRPr="00BA16F2" w:rsidRDefault="00085A93" w:rsidP="00F35B9A">
      <w:pPr>
        <w:rPr>
          <w:rFonts w:cs="Times New Roman"/>
          <w:szCs w:val="24"/>
          <w:lang w:val="es-ES"/>
        </w:rPr>
      </w:pPr>
      <w:r w:rsidRPr="00BA16F2">
        <w:rPr>
          <w:rFonts w:cs="Times New Roman"/>
          <w:szCs w:val="24"/>
          <w:lang w:val="es-ES"/>
        </w:rPr>
        <w:t>Las estufas de leña antiguas generan emisiones que afectan la calidad del aire y contribuyen a enfermedades respiratorias como el asma. El ingeniero debe considerar la protección de la salud de la población.</w:t>
      </w:r>
    </w:p>
    <w:p w14:paraId="4250425F" w14:textId="77777777" w:rsidR="00085A93" w:rsidRPr="00BA16F2" w:rsidRDefault="00085A93" w:rsidP="00F35B9A">
      <w:pPr>
        <w:rPr>
          <w:rFonts w:cs="Times New Roman"/>
          <w:szCs w:val="24"/>
          <w:lang w:val="es-ES"/>
        </w:rPr>
      </w:pPr>
      <w:r w:rsidRPr="00BA16F2">
        <w:rPr>
          <w:rStyle w:val="Textoennegrita"/>
          <w:rFonts w:cs="Times New Roman"/>
          <w:szCs w:val="24"/>
          <w:lang w:val="es-ES"/>
        </w:rPr>
        <w:t>Relación con RA4:</w:t>
      </w:r>
      <w:r w:rsidRPr="00BA16F2">
        <w:rPr>
          <w:rFonts w:cs="Times New Roman"/>
          <w:szCs w:val="24"/>
          <w:lang w:val="es-ES"/>
        </w:rPr>
        <w:t xml:space="preserve"> Reconocimiento de la responsabilidad ética de proteger la seguridad, salud y bienestar público.</w:t>
      </w:r>
    </w:p>
    <w:p w14:paraId="1C0F0231" w14:textId="77777777" w:rsidR="00085A93" w:rsidRPr="00BA16F2" w:rsidRDefault="00085A93" w:rsidP="00F35B9A">
      <w:pPr>
        <w:rPr>
          <w:rFonts w:cs="Times New Roman"/>
          <w:b/>
          <w:szCs w:val="24"/>
          <w:lang w:val="es-ES"/>
        </w:rPr>
      </w:pPr>
      <w:r w:rsidRPr="00BA16F2">
        <w:rPr>
          <w:rFonts w:cs="Times New Roman"/>
          <w:b/>
          <w:szCs w:val="24"/>
          <w:lang w:val="es-ES"/>
        </w:rPr>
        <w:t>2. Impacto ambiental</w:t>
      </w:r>
    </w:p>
    <w:p w14:paraId="06D3D6D0" w14:textId="77777777" w:rsidR="00085A93" w:rsidRPr="00BA16F2" w:rsidRDefault="00085A93" w:rsidP="00F35B9A">
      <w:pPr>
        <w:rPr>
          <w:rFonts w:cs="Times New Roman"/>
          <w:szCs w:val="24"/>
          <w:lang w:val="es-ES"/>
        </w:rPr>
      </w:pPr>
      <w:r w:rsidRPr="00BA16F2">
        <w:rPr>
          <w:rFonts w:cs="Times New Roman"/>
          <w:szCs w:val="24"/>
          <w:lang w:val="es-ES"/>
        </w:rPr>
        <w:t>La reducción de emisiones implica beneficios ambientales significativos, pero también desafíos tecnológicos.</w:t>
      </w:r>
    </w:p>
    <w:p w14:paraId="07E4A835" w14:textId="77777777" w:rsidR="00085A93" w:rsidRPr="00BA16F2" w:rsidRDefault="00085A93" w:rsidP="00F35B9A">
      <w:pPr>
        <w:rPr>
          <w:rFonts w:cs="Times New Roman"/>
          <w:szCs w:val="24"/>
          <w:lang w:val="es-ES"/>
        </w:rPr>
      </w:pPr>
      <w:r w:rsidRPr="00BA16F2">
        <w:rPr>
          <w:rStyle w:val="Textoennegrita"/>
          <w:rFonts w:cs="Times New Roman"/>
          <w:szCs w:val="24"/>
          <w:lang w:val="es-ES"/>
        </w:rPr>
        <w:t>Relación con RA4:</w:t>
      </w:r>
      <w:r w:rsidRPr="00BA16F2">
        <w:rPr>
          <w:rFonts w:cs="Times New Roman"/>
          <w:szCs w:val="24"/>
          <w:lang w:val="es-ES"/>
        </w:rPr>
        <w:t xml:space="preserve"> Consideración de los impactos ambientales de las soluciones de ingeniería.</w:t>
      </w:r>
    </w:p>
    <w:p w14:paraId="6A15A708" w14:textId="77777777" w:rsidR="00085A93" w:rsidRPr="00BA16F2" w:rsidRDefault="00085A93" w:rsidP="00F35B9A">
      <w:pPr>
        <w:rPr>
          <w:rFonts w:cs="Times New Roman"/>
          <w:b/>
          <w:szCs w:val="24"/>
          <w:lang w:val="es-ES"/>
        </w:rPr>
      </w:pPr>
      <w:r w:rsidRPr="00BA16F2">
        <w:rPr>
          <w:rFonts w:cs="Times New Roman"/>
          <w:b/>
          <w:szCs w:val="24"/>
          <w:lang w:val="es-ES"/>
        </w:rPr>
        <w:t>3. Impacto económico</w:t>
      </w:r>
    </w:p>
    <w:p w14:paraId="5BB5DD6F" w14:textId="77777777" w:rsidR="00085A93" w:rsidRPr="00BA16F2" w:rsidRDefault="00085A93" w:rsidP="00F35B9A">
      <w:pPr>
        <w:rPr>
          <w:rFonts w:cs="Times New Roman"/>
          <w:szCs w:val="24"/>
          <w:lang w:val="es-ES"/>
        </w:rPr>
      </w:pPr>
      <w:r w:rsidRPr="00BA16F2">
        <w:rPr>
          <w:rFonts w:cs="Times New Roman"/>
          <w:szCs w:val="24"/>
          <w:lang w:val="es-ES"/>
        </w:rPr>
        <w:t>Diseñar nuevas estufas para cumplir con la normativa podría costar cerca de un millón de dólares al fabricante y aumentar el precio para los consumidores.</w:t>
      </w:r>
    </w:p>
    <w:p w14:paraId="6AFCCB01" w14:textId="77777777" w:rsidR="00085A93" w:rsidRPr="00BA16F2" w:rsidRDefault="00085A93" w:rsidP="00F35B9A">
      <w:pPr>
        <w:rPr>
          <w:rFonts w:cs="Times New Roman"/>
          <w:szCs w:val="24"/>
          <w:lang w:val="es-ES"/>
        </w:rPr>
      </w:pPr>
      <w:r w:rsidRPr="00BA16F2">
        <w:rPr>
          <w:rStyle w:val="Textoennegrita"/>
          <w:rFonts w:cs="Times New Roman"/>
          <w:szCs w:val="24"/>
          <w:lang w:val="es-ES"/>
        </w:rPr>
        <w:t>Relación con RA4:</w:t>
      </w:r>
      <w:r w:rsidRPr="00BA16F2">
        <w:rPr>
          <w:rFonts w:cs="Times New Roman"/>
          <w:szCs w:val="24"/>
          <w:lang w:val="es-ES"/>
        </w:rPr>
        <w:t xml:space="preserve"> Evaluación de consecuencias económicas de las decisiones técnicas.</w:t>
      </w:r>
    </w:p>
    <w:p w14:paraId="7F04E3D7" w14:textId="77777777" w:rsidR="00085A93" w:rsidRPr="00BA16F2" w:rsidRDefault="00085A93" w:rsidP="00F35B9A">
      <w:pPr>
        <w:rPr>
          <w:rFonts w:cs="Times New Roman"/>
          <w:b/>
          <w:szCs w:val="24"/>
          <w:lang w:val="es-ES"/>
        </w:rPr>
      </w:pPr>
      <w:r w:rsidRPr="00BA16F2">
        <w:rPr>
          <w:rFonts w:cs="Times New Roman"/>
          <w:b/>
          <w:szCs w:val="24"/>
          <w:lang w:val="es-ES"/>
        </w:rPr>
        <w:t>4. Justicia social y equidad</w:t>
      </w:r>
    </w:p>
    <w:p w14:paraId="79A5A052" w14:textId="77777777" w:rsidR="00085A93" w:rsidRPr="00BA16F2" w:rsidRDefault="00085A93" w:rsidP="00F35B9A">
      <w:pPr>
        <w:rPr>
          <w:rFonts w:cs="Times New Roman"/>
          <w:szCs w:val="24"/>
          <w:lang w:val="es-ES"/>
        </w:rPr>
      </w:pPr>
      <w:r w:rsidRPr="00BA16F2">
        <w:rPr>
          <w:rFonts w:cs="Times New Roman"/>
          <w:szCs w:val="24"/>
          <w:lang w:val="es-ES"/>
        </w:rPr>
        <w:t>Muchas familias utilizan leña porque es una alternativa más económica al combustible fósil. Un aumento excesivo en el costo de las estufas podría afectar especialmente a hogares de bajos ingresos.</w:t>
      </w:r>
    </w:p>
    <w:p w14:paraId="6204554F" w14:textId="77777777" w:rsidR="00085A93" w:rsidRPr="00BA16F2" w:rsidRDefault="00085A93" w:rsidP="00F35B9A">
      <w:pPr>
        <w:rPr>
          <w:rFonts w:cs="Times New Roman"/>
          <w:szCs w:val="24"/>
          <w:lang w:val="es-ES"/>
        </w:rPr>
      </w:pPr>
      <w:r w:rsidRPr="00BA16F2">
        <w:rPr>
          <w:rStyle w:val="Textoennegrita"/>
          <w:rFonts w:cs="Times New Roman"/>
          <w:szCs w:val="24"/>
          <w:lang w:val="es-ES"/>
        </w:rPr>
        <w:t>Relación con RA4:</w:t>
      </w:r>
      <w:r w:rsidRPr="00BA16F2">
        <w:rPr>
          <w:rFonts w:cs="Times New Roman"/>
          <w:szCs w:val="24"/>
          <w:lang w:val="es-ES"/>
        </w:rPr>
        <w:t xml:space="preserve"> Consideración de impactos sociales y distributivos de las decisiones de ingeniería.</w:t>
      </w:r>
    </w:p>
    <w:p w14:paraId="5B49AAB6" w14:textId="77777777" w:rsidR="00775210" w:rsidRDefault="00775210" w:rsidP="00775210">
      <w:pPr>
        <w:pStyle w:val="Ttulo1"/>
        <w:rPr>
          <w:highlight w:val="yellow"/>
          <w:lang w:val="es-ES"/>
        </w:rPr>
      </w:pPr>
      <w:r>
        <w:rPr>
          <w:highlight w:val="yellow"/>
          <w:lang w:val="es-ES"/>
        </w:rPr>
        <w:lastRenderedPageBreak/>
        <w:t>Caso 2</w:t>
      </w:r>
    </w:p>
    <w:p w14:paraId="3427015A" w14:textId="77777777" w:rsidR="004C2E00" w:rsidRPr="00BA16F2" w:rsidRDefault="004C2E00" w:rsidP="00F35B9A">
      <w:pPr>
        <w:rPr>
          <w:rFonts w:cs="Times New Roman"/>
          <w:b/>
          <w:szCs w:val="24"/>
          <w:lang w:val="es-ES"/>
        </w:rPr>
      </w:pPr>
      <w:r w:rsidRPr="00BA16F2">
        <w:rPr>
          <w:rFonts w:cs="Times New Roman"/>
          <w:b/>
          <w:szCs w:val="24"/>
          <w:highlight w:val="yellow"/>
          <w:lang w:val="es-ES"/>
        </w:rPr>
        <w:t>Ética del consumidor</w:t>
      </w:r>
    </w:p>
    <w:p w14:paraId="576BAF7D" w14:textId="77777777" w:rsidR="004C2E00" w:rsidRPr="00BA16F2" w:rsidRDefault="004C2E00" w:rsidP="00F35B9A">
      <w:pPr>
        <w:rPr>
          <w:rFonts w:cs="Times New Roman"/>
          <w:szCs w:val="24"/>
          <w:lang w:val="es-ES"/>
        </w:rPr>
      </w:pPr>
      <w:r w:rsidRPr="00BA16F2">
        <w:rPr>
          <w:rFonts w:cs="Times New Roman"/>
          <w:szCs w:val="24"/>
          <w:lang w:val="es-ES"/>
        </w:rPr>
        <w:t xml:space="preserve">Deirdre Shaw, </w:t>
      </w:r>
      <w:proofErr w:type="spellStart"/>
      <w:r w:rsidRPr="00BA16F2">
        <w:rPr>
          <w:rFonts w:cs="Times New Roman"/>
          <w:szCs w:val="24"/>
          <w:lang w:val="es-ES"/>
        </w:rPr>
        <w:t>Michal</w:t>
      </w:r>
      <w:proofErr w:type="spellEnd"/>
      <w:r w:rsidRPr="00BA16F2">
        <w:rPr>
          <w:rFonts w:cs="Times New Roman"/>
          <w:szCs w:val="24"/>
          <w:lang w:val="es-ES"/>
        </w:rPr>
        <w:t xml:space="preserve"> Carrington y Louise Hassan</w:t>
      </w:r>
    </w:p>
    <w:p w14:paraId="5938276C" w14:textId="77777777" w:rsidR="004C2E00" w:rsidRPr="00BA16F2" w:rsidRDefault="004C2E00" w:rsidP="00F35B9A">
      <w:pPr>
        <w:rPr>
          <w:rFonts w:cs="Times New Roman"/>
          <w:szCs w:val="24"/>
          <w:lang w:val="es-ES"/>
        </w:rPr>
      </w:pPr>
      <w:r w:rsidRPr="00BA16F2">
        <w:rPr>
          <w:rFonts w:cs="Times New Roman"/>
          <w:szCs w:val="24"/>
          <w:lang w:val="es-ES"/>
        </w:rPr>
        <w:t>Introducción</w:t>
      </w:r>
    </w:p>
    <w:p w14:paraId="5A4D5258" w14:textId="77777777" w:rsidR="004C2E00" w:rsidRPr="00BA16F2" w:rsidRDefault="004C2E00" w:rsidP="00F35B9A">
      <w:pPr>
        <w:rPr>
          <w:rFonts w:cs="Times New Roman"/>
          <w:szCs w:val="24"/>
          <w:lang w:val="es-ES"/>
        </w:rPr>
      </w:pPr>
      <w:r w:rsidRPr="00BA16F2">
        <w:rPr>
          <w:rFonts w:cs="Times New Roman"/>
          <w:szCs w:val="24"/>
          <w:lang w:val="es-ES"/>
        </w:rPr>
        <w:t>El mundo se enfrenta a desafíos sin precedentes que impactan el bienestar social y ecológico a escala global y nos afectan tanto como ciudadanos como consumidores. Las tendencias actuales de emisiones nos encaminan hacia cambios climáticos que tendrán, y ya están teniendo, consecuencias dramáticas para las comunidades y los entornos de todo el mundo. De hecho, los científicos advierten que el planeta se encuentra en medio de la sexta extinción masiva de especies, impulsada por las actividades humanas. Esto, y las consecuencias que produce, es un tema crucial para la ética del consumidor. En este comentario, buscamos estimular un debate que mire hacia el futuro y considere los principios y prácticas de nuestra investigación y sus resultados a la luz de estos urgentes desafíos globales.</w:t>
      </w:r>
    </w:p>
    <w:p w14:paraId="635CDA53" w14:textId="77777777" w:rsidR="004C2E00" w:rsidRPr="00BA16F2" w:rsidRDefault="004C2E00" w:rsidP="00F35B9A">
      <w:pPr>
        <w:rPr>
          <w:rFonts w:cs="Times New Roman"/>
          <w:szCs w:val="24"/>
          <w:lang w:val="es-ES"/>
        </w:rPr>
      </w:pPr>
      <w:r w:rsidRPr="00BA16F2">
        <w:rPr>
          <w:rFonts w:cs="Times New Roman"/>
          <w:szCs w:val="24"/>
          <w:lang w:val="es-ES"/>
        </w:rPr>
        <w:t xml:space="preserve">Los enfoques actuales de los sistemas de producción y consumo, centrados en el crecimiento, son insostenibles y están impulsando el cambio climático, la degradación ambiental y el sufrimiento humano. Sin embargo, al mismo tiempo, el consumo de recursos naturales sigue aumentando. Esto incluye la demanda de los consumidores de artículos baratos, desechables y de corta duración. Los modelos de negocio orientados al crecimiento que sustentan este consumo excesivo suelen basarse en la explotación, son insostenibles y, por lo tanto, ya no cumplen su función. En cambio, nuevos enfoques para sistemas de mercado ecológicamente sostenibles y socialmente justos exigen un cambio cultural, una reconsideración de las futuras interpretaciones de la "sociedad de consumo", un desafío a la "lógica del crecimiento" dominante y la estimulación de formas alternativas de satisfacer </w:t>
      </w:r>
      <w:r w:rsidRPr="00BA16F2">
        <w:rPr>
          <w:rFonts w:cs="Times New Roman"/>
          <w:szCs w:val="24"/>
          <w:lang w:val="es-ES"/>
        </w:rPr>
        <w:lastRenderedPageBreak/>
        <w:t>nuestras necesidades de consumo. Estas cuestiones son urgentes, al igual que la necesidad de investigación que amplíe los límites de los enfoques actuales de la ética del consumidor y presente contribuciones que impulsen nuestro pensamiento tanto en la práctica como en la teoría.</w:t>
      </w:r>
    </w:p>
    <w:p w14:paraId="7C30929E" w14:textId="77777777" w:rsidR="004C2E00" w:rsidRPr="00BA16F2" w:rsidRDefault="004C2E00" w:rsidP="00F35B9A">
      <w:pPr>
        <w:rPr>
          <w:rFonts w:cs="Times New Roman"/>
          <w:szCs w:val="24"/>
          <w:lang w:val="es-ES"/>
        </w:rPr>
      </w:pPr>
      <w:r w:rsidRPr="00BA16F2">
        <w:rPr>
          <w:rFonts w:cs="Times New Roman"/>
          <w:szCs w:val="24"/>
          <w:lang w:val="es-ES"/>
        </w:rPr>
        <w:t>Comprender la ética del consumidor</w:t>
      </w:r>
    </w:p>
    <w:p w14:paraId="6E75A9E3" w14:textId="77777777" w:rsidR="004C2E00" w:rsidRPr="00BA16F2" w:rsidRDefault="004C2E00" w:rsidP="00F35B9A">
      <w:pPr>
        <w:rPr>
          <w:rFonts w:cs="Times New Roman"/>
          <w:szCs w:val="24"/>
          <w:lang w:val="es-ES"/>
        </w:rPr>
      </w:pPr>
      <w:r w:rsidRPr="00BA16F2">
        <w:rPr>
          <w:rFonts w:cs="Times New Roman"/>
          <w:szCs w:val="24"/>
          <w:lang w:val="es-ES"/>
        </w:rPr>
        <w:t>Estamos presenciando una rápida expansión de la ética del consumidor como campo de investigación, y lo que se considera "ético" dentro de esta creciente corriente de investigación abarca diferentes expresiones, preocupaciones y problemáticas en distintos individuos, grupos y contextos socioespaciales. Estos enfoques de investigación, cada vez más amplios y diversos, generan complejidad y heterogeneidad en nuestra comprensión de la ética del consumidor. Esta complejidad se evidencia en una reciente revisión del campo re</w:t>
      </w:r>
      <w:r w:rsidR="00A86F6A">
        <w:rPr>
          <w:rFonts w:cs="Times New Roman"/>
          <w:szCs w:val="24"/>
          <w:lang w:val="es-ES"/>
        </w:rPr>
        <w:t>alizada por Carrington et al. (</w:t>
      </w:r>
      <w:r w:rsidRPr="00BA16F2">
        <w:rPr>
          <w:rFonts w:cs="Times New Roman"/>
          <w:szCs w:val="24"/>
          <w:lang w:val="es-ES"/>
        </w:rPr>
        <w:t xml:space="preserve">2021), publicada en el </w:t>
      </w:r>
      <w:proofErr w:type="spellStart"/>
      <w:r w:rsidRPr="00BA16F2">
        <w:rPr>
          <w:rFonts w:cs="Times New Roman"/>
          <w:szCs w:val="24"/>
          <w:lang w:val="es-ES"/>
        </w:rPr>
        <w:t>Journal</w:t>
      </w:r>
      <w:proofErr w:type="spellEnd"/>
      <w:r w:rsidRPr="00BA16F2">
        <w:rPr>
          <w:rFonts w:cs="Times New Roman"/>
          <w:szCs w:val="24"/>
          <w:lang w:val="es-ES"/>
        </w:rPr>
        <w:t xml:space="preserve"> </w:t>
      </w:r>
      <w:proofErr w:type="spellStart"/>
      <w:r w:rsidRPr="00BA16F2">
        <w:rPr>
          <w:rFonts w:cs="Times New Roman"/>
          <w:szCs w:val="24"/>
          <w:lang w:val="es-ES"/>
        </w:rPr>
        <w:t>of</w:t>
      </w:r>
      <w:proofErr w:type="spellEnd"/>
      <w:r w:rsidRPr="00BA16F2">
        <w:rPr>
          <w:rFonts w:cs="Times New Roman"/>
          <w:szCs w:val="24"/>
          <w:lang w:val="es-ES"/>
        </w:rPr>
        <w:t xml:space="preserve"> Business </w:t>
      </w:r>
      <w:proofErr w:type="spellStart"/>
      <w:r w:rsidRPr="00BA16F2">
        <w:rPr>
          <w:rFonts w:cs="Times New Roman"/>
          <w:szCs w:val="24"/>
          <w:lang w:val="es-ES"/>
        </w:rPr>
        <w:t>Ethics</w:t>
      </w:r>
      <w:proofErr w:type="spellEnd"/>
      <w:r w:rsidRPr="00BA16F2">
        <w:rPr>
          <w:rFonts w:cs="Times New Roman"/>
          <w:szCs w:val="24"/>
          <w:lang w:val="es-ES"/>
        </w:rPr>
        <w:t>, quienes identifican diversas vías para futuras investigaciones, las cuales abordamos en este comentario.</w:t>
      </w:r>
    </w:p>
    <w:p w14:paraId="33035849" w14:textId="77777777" w:rsidR="004C2E00" w:rsidRPr="00BA16F2" w:rsidRDefault="004C2E00" w:rsidP="00F35B9A">
      <w:pPr>
        <w:rPr>
          <w:rFonts w:cs="Times New Roman"/>
          <w:szCs w:val="24"/>
          <w:lang w:val="es-ES"/>
        </w:rPr>
      </w:pPr>
      <w:r w:rsidRPr="00BA16F2">
        <w:rPr>
          <w:rFonts w:cs="Times New Roman"/>
          <w:szCs w:val="24"/>
          <w:lang w:val="es-ES"/>
        </w:rPr>
        <w:t xml:space="preserve">En primer lugar, la investigación sobre la posición identitaria del consumidor en la ética del consumo ha dado lugar a una gran cantidad de terminología para describir al consumidor éticamente comprometido, que abarca términos como consumidor ético, consumidor ecológico, consumidor consciente, consumidor político, consumidor sostenible, etc. Si bien esta terminología se usa a veces indistintamente, las diferencias en los matices y el uso proporcionan un punto de partida para cuestionar qué constituye y qué influye en la ética del consumo. Además, los consumidores desempeñan múltiples roles e identidades en categorías como el género, la familia, la nacionalidad, la política, etc., lo que pone de relieve la complejidad asociada a los múltiples impactos de la identidad en el comportamiento. Dichas identidades suscitarán diferentes reacciones emocionales y conflictos cuando surjan </w:t>
      </w:r>
      <w:r w:rsidRPr="00BA16F2">
        <w:rPr>
          <w:rFonts w:cs="Times New Roman"/>
          <w:szCs w:val="24"/>
          <w:lang w:val="es-ES"/>
        </w:rPr>
        <w:lastRenderedPageBreak/>
        <w:t xml:space="preserve">desajustes de identidad y choquen los deseos de consumo. Por lo tanto, comprender cómo estas identidades se relacionan para facilitar o inhibir la ética del consumidor es fundamental para entender la activación y la relevancia de una postura ética en los contextos de consumo. Se necesita investigación que sitúe en un contexto más amplio cómo una identidad ética y los motivos éticos interactúan con otros motivos e identidades activados. Ampliando esta perspectiva, además de estudiar las perspectivas </w:t>
      </w:r>
      <w:proofErr w:type="spellStart"/>
      <w:r w:rsidRPr="00BA16F2">
        <w:rPr>
          <w:rFonts w:cs="Times New Roman"/>
          <w:szCs w:val="24"/>
          <w:lang w:val="es-ES"/>
        </w:rPr>
        <w:t>microindividuales</w:t>
      </w:r>
      <w:proofErr w:type="spellEnd"/>
      <w:r w:rsidRPr="00BA16F2">
        <w:rPr>
          <w:rFonts w:cs="Times New Roman"/>
          <w:szCs w:val="24"/>
          <w:lang w:val="es-ES"/>
        </w:rPr>
        <w:t xml:space="preserve"> y las posiciones identitarias, es importante considerar el contexto socioeconómico, histórico, político y cultural más amplio en el que se forman y se sitúan dichas identidades éticas del consumo. Lo que se entiende por "ético" es gradual y depende del contexto. Sin embargo, la literatura existente se centra principalmente en los consumidores occidentales relativamente acomodados y ha concentrado la investigación en estimular la demanda de alternativas "éticas". Esta comprensión no refleja las vidas y decisiones de consumo de los consumidores que experimentan privaciones y los impactos del cambio climático en sociedades acomodadas, los refugiados de consumo o aquellos en el Sur Global.</w:t>
      </w:r>
    </w:p>
    <w:p w14:paraId="225EB4E0" w14:textId="77777777" w:rsidR="004C2E00" w:rsidRPr="00BA16F2" w:rsidRDefault="004C2E00" w:rsidP="00F35B9A">
      <w:pPr>
        <w:rPr>
          <w:rFonts w:cs="Times New Roman"/>
          <w:szCs w:val="24"/>
          <w:lang w:val="es-ES"/>
        </w:rPr>
      </w:pPr>
      <w:r w:rsidRPr="00BA16F2">
        <w:rPr>
          <w:rFonts w:cs="Times New Roman"/>
          <w:szCs w:val="24"/>
          <w:lang w:val="es-ES"/>
        </w:rPr>
        <w:t xml:space="preserve">Por lo tanto, una mayor diversidad en nuestra concepción del consumidor, sus posiciones identitarias y su ética del consumo, así como la atención a los contextos en los que se forma dicha ética, son necesarias para evitar una concepción estrecha de lo que entendemos por ética del consumidor. Tanto en el contexto del Norte como del Sur global, esto también requiere ir más allá de tomar los marcos existentes y aplicarlos a dichos consumidores, sino más bien tomar el contexto como punto de partida para criticar los marcos teóricos desarrollados a partir de consumidores occidentales, en su mayoría de clase media, y para dar prioridad a diferentes significados de la ética del consumidor y, como resultado, ampliar el avance teórico del campo. Por ejemplo, si bien los llamados a reducir los niveles de consumo, debido al impacto en nuestro planeta, son importantes y necesarios para los </w:t>
      </w:r>
      <w:r w:rsidRPr="00BA16F2">
        <w:rPr>
          <w:rFonts w:cs="Times New Roman"/>
          <w:szCs w:val="24"/>
          <w:lang w:val="es-ES"/>
        </w:rPr>
        <w:lastRenderedPageBreak/>
        <w:t>consumidores adinerados, tales acciones no son apropiadas para aquellos que no pueden consumir lo suficiente para satisfacer sus necesidades de supervivencia.</w:t>
      </w:r>
    </w:p>
    <w:p w14:paraId="264DAC60" w14:textId="77777777" w:rsidR="004C2E00" w:rsidRPr="00BA16F2" w:rsidRDefault="004C2E00" w:rsidP="00F35B9A">
      <w:pPr>
        <w:rPr>
          <w:rFonts w:cs="Times New Roman"/>
          <w:szCs w:val="24"/>
          <w:lang w:val="es-ES"/>
        </w:rPr>
      </w:pPr>
      <w:r w:rsidRPr="00BA16F2">
        <w:rPr>
          <w:rFonts w:cs="Times New Roman"/>
          <w:szCs w:val="24"/>
          <w:lang w:val="es-ES"/>
        </w:rPr>
        <w:t>En segundo lugar, considerar la diversidad de contextos de consumo también permite una crítica de los límites del consumo como única forma de acción ética. Debemos cuestionar las suposiciones que equiparan las compras en el mercado con la ética inherente sin analizar críticamente las estructuras de mercado y su significado para los diferentes consumidores. Por ejemplo, ¿cómo se manifiesta la ética del consumidor en un mundo con recursos limitados? ¿Reproduce el consumo ético el contexto estructural actual del mercado capitalista, que privilegia el crecimiento del consumo individual e ilimitado? Esto plantea interrogantes importantes sobre los límites de la ética del consumidor bajo las estructuras económicas predominantes, cuestiones cruciales para orientar el comportamiento del consumidor, las políticas públicas y la acción colectiva. Estas preguntas sobre los límites de nuestro consumo debido a la disminución de los recursos planetarios, junto con las estructuras predominantes en el mercado, son importantes, ya que a menudo son los mercados los que determinan qué es "ético" y seleccionan las opciones disponibles para los consumidores. Estas preguntas cuestionan la existencia de la capacidad de decisión del consumidor y la responsabilidad que de ella se deriva, así como el grado en que los consumidores deciden libre y racionalmente qué constituye una opción éticamente superior. Estas preguntas también ponen de relieve la necesidad de comprender claramente las relaciones entre los factores que sustentan los enfoques actuales de los sistemas de producción y consumo, y cómo los consumidores buscan emitir juicios éticos y emprender acciones éticas.</w:t>
      </w:r>
    </w:p>
    <w:p w14:paraId="0CDA9ECB" w14:textId="77777777" w:rsidR="004C2E00" w:rsidRPr="00BA16F2" w:rsidRDefault="004C2E00" w:rsidP="00F35B9A">
      <w:pPr>
        <w:rPr>
          <w:rFonts w:cs="Times New Roman"/>
          <w:szCs w:val="24"/>
          <w:lang w:val="es-ES"/>
        </w:rPr>
      </w:pPr>
      <w:r w:rsidRPr="00BA16F2">
        <w:rPr>
          <w:rFonts w:cs="Times New Roman"/>
          <w:szCs w:val="24"/>
          <w:lang w:val="es-ES"/>
        </w:rPr>
        <w:t xml:space="preserve">En tercer lugar, esta línea de investigación también pone de relieve la naturaleza desigual de la asignación de recursos entre los sistemas de producción y consumo a nivel </w:t>
      </w:r>
      <w:r w:rsidRPr="00BA16F2">
        <w:rPr>
          <w:rFonts w:cs="Times New Roman"/>
          <w:szCs w:val="24"/>
          <w:lang w:val="es-ES"/>
        </w:rPr>
        <w:lastRenderedPageBreak/>
        <w:t xml:space="preserve">mundial, ya que los distintos consumidores tienen experiencias diferentes que influyen en su comprensión y práctica de la ética del consumo. Al buscar enfoques alternativos al consumo, no podemos separar el consumo de la producción. Por lo tanto, es vital comprender cómo se legitiman y normalizan los enfoques del consumo ético si queremos movilizar a los consumidores para que actúen como actores clave en la perpetuación o erradicación de las múltiples dimensiones de la crisis planetaria actual. Esto implica comprender cómo la ética del consumo se regula tanto estratégica como tácticamente mediante leyes formales, así como mediante normas, costumbres y rituales religiosos, y cómo las lógicas morales se construyen, institucionalizan y regulan estructuralmente por poderosos actores institucionales. Es fundamental considerar cómo apoyamos la transición hacia una ética del consumo más justa social y ambientalmente en un sistema estructural que la hace cada vez más difícil de alcanzar. Esto subraya la necesidad de investigar la legitimidad y la regulación, posicionando al consumidor como uno de los múltiples actores institucionales que reconocen los diferentes ámbitos culturales y las múltiples interpretaciones y contradicciones de lo que en última instancia se considera "ético". Tomando como ejemplo la economía circular, los impactos ambientales de un sistema circular, que requiere la recolección, </w:t>
      </w:r>
      <w:proofErr w:type="gramStart"/>
      <w:r w:rsidRPr="00BA16F2">
        <w:rPr>
          <w:rFonts w:cs="Times New Roman"/>
          <w:szCs w:val="24"/>
          <w:lang w:val="es-ES"/>
        </w:rPr>
        <w:t>el reprocesamiento</w:t>
      </w:r>
      <w:proofErr w:type="gramEnd"/>
      <w:r w:rsidRPr="00BA16F2">
        <w:rPr>
          <w:rFonts w:cs="Times New Roman"/>
          <w:szCs w:val="24"/>
          <w:lang w:val="es-ES"/>
        </w:rPr>
        <w:t xml:space="preserve"> y la producción de residuos, no están claros, especialmente en una economía global donde pocos productos se fabrican, compran, desechan y reciclan en la misma ubicación geográfica, lo que genera enormes transferencias de recursos a nivel mundial. Es fundamental que la economía circular no se considere un medio para mantener los ritmos actuales de producción y consumo, ya que esto no es suficiente para abordar la crisis climática actual. En cambio, es necesario abordar el volumen de producción y consumo, porque ninguna cantidad de reutilización o reciclaje compensará el crecimiento continuo de la industria. Además, es imprescindible incluir, involucrar y dar voz a las partes interesadas a nivel global. </w:t>
      </w:r>
      <w:r w:rsidRPr="00BA16F2">
        <w:rPr>
          <w:rFonts w:cs="Times New Roman"/>
          <w:szCs w:val="24"/>
          <w:lang w:val="es-ES"/>
        </w:rPr>
        <w:lastRenderedPageBreak/>
        <w:t>Necesitamos identificar sistemas de producción y consumo más inteligentes, lentos y justos que desmantelen la linealidad e incorporen la justicia social y la protección del medio ambiente.</w:t>
      </w:r>
    </w:p>
    <w:p w14:paraId="3A0A82E6" w14:textId="77777777" w:rsidR="004C2E00" w:rsidRPr="00BA16F2" w:rsidRDefault="004C2E00" w:rsidP="00F35B9A">
      <w:pPr>
        <w:rPr>
          <w:rFonts w:cs="Times New Roman"/>
          <w:i/>
          <w:szCs w:val="24"/>
          <w:lang w:val="es-ES"/>
        </w:rPr>
      </w:pPr>
      <w:r w:rsidRPr="00BA16F2">
        <w:rPr>
          <w:rFonts w:cs="Times New Roman"/>
          <w:i/>
          <w:szCs w:val="24"/>
          <w:lang w:val="es-ES"/>
        </w:rPr>
        <w:t>Conclusión</w:t>
      </w:r>
    </w:p>
    <w:p w14:paraId="404C9163" w14:textId="77777777" w:rsidR="00000000" w:rsidRPr="00BA16F2" w:rsidRDefault="004C2E00" w:rsidP="00F35B9A">
      <w:pPr>
        <w:rPr>
          <w:rFonts w:cs="Times New Roman"/>
          <w:szCs w:val="24"/>
          <w:lang w:val="es-ES"/>
        </w:rPr>
      </w:pPr>
      <w:r w:rsidRPr="00BA16F2">
        <w:rPr>
          <w:rFonts w:cs="Times New Roman"/>
          <w:szCs w:val="24"/>
          <w:lang w:val="es-ES"/>
        </w:rPr>
        <w:t xml:space="preserve">En este comentario, destacamos la necesidad urgente de nuevos enfoques y perspectivas para comprender la sostenibilidad socialmente justa y la necesidad de repensar los sistemas de mercado actuales, así como nuestra comprensión de las lógicas del crecimiento y la sociedad de consumo. Para ello, debemos reconocer las diversas experiencias vividas por los consumidores, inmersas en diferentes contextos socioeconómicos, históricos, políticos y culturales. Si bien este no pretende ser una lista exhaustiva de artículos para la sección de Ética del Consumidor del </w:t>
      </w:r>
      <w:proofErr w:type="spellStart"/>
      <w:r w:rsidRPr="00BA16F2">
        <w:rPr>
          <w:rFonts w:cs="Times New Roman"/>
          <w:szCs w:val="24"/>
          <w:lang w:val="es-ES"/>
        </w:rPr>
        <w:t>Journal</w:t>
      </w:r>
      <w:proofErr w:type="spellEnd"/>
      <w:r w:rsidRPr="00BA16F2">
        <w:rPr>
          <w:rFonts w:cs="Times New Roman"/>
          <w:szCs w:val="24"/>
          <w:lang w:val="es-ES"/>
        </w:rPr>
        <w:t xml:space="preserve"> </w:t>
      </w:r>
      <w:proofErr w:type="spellStart"/>
      <w:r w:rsidRPr="00BA16F2">
        <w:rPr>
          <w:rFonts w:cs="Times New Roman"/>
          <w:szCs w:val="24"/>
          <w:lang w:val="es-ES"/>
        </w:rPr>
        <w:t>of</w:t>
      </w:r>
      <w:proofErr w:type="spellEnd"/>
      <w:r w:rsidRPr="00BA16F2">
        <w:rPr>
          <w:rFonts w:cs="Times New Roman"/>
          <w:szCs w:val="24"/>
          <w:lang w:val="es-ES"/>
        </w:rPr>
        <w:t xml:space="preserve"> Business </w:t>
      </w:r>
      <w:proofErr w:type="spellStart"/>
      <w:r w:rsidRPr="00BA16F2">
        <w:rPr>
          <w:rFonts w:cs="Times New Roman"/>
          <w:szCs w:val="24"/>
          <w:lang w:val="es-ES"/>
        </w:rPr>
        <w:t>Ethics</w:t>
      </w:r>
      <w:proofErr w:type="spellEnd"/>
      <w:r w:rsidRPr="00BA16F2">
        <w:rPr>
          <w:rFonts w:cs="Times New Roman"/>
          <w:szCs w:val="24"/>
          <w:lang w:val="es-ES"/>
        </w:rPr>
        <w:t>, esperamos que sirva para estimular la crítica, el debate y la discusión sobre los importantes cambios que enfrenta la humanidad hoy en día. Por lo tanto, recibimos con gran interés artículos que respondan a estas y otras preguntas. Todas las perspectivas y enfoques metodológicos son bienvenidos.</w:t>
      </w:r>
    </w:p>
    <w:p w14:paraId="54726904" w14:textId="77777777" w:rsidR="00E71141" w:rsidRPr="00BA16F2" w:rsidRDefault="00E71141" w:rsidP="00F35B9A">
      <w:pPr>
        <w:rPr>
          <w:rFonts w:cs="Times New Roman"/>
          <w:szCs w:val="24"/>
          <w:lang w:val="es-ES"/>
        </w:rPr>
      </w:pPr>
      <w:r w:rsidRPr="00BA16F2">
        <w:rPr>
          <w:rFonts w:cs="Times New Roman"/>
          <w:szCs w:val="24"/>
          <w:lang w:val="es-ES"/>
        </w:rPr>
        <w:t>Pregunta 1</w:t>
      </w:r>
    </w:p>
    <w:p w14:paraId="4433A76D" w14:textId="77777777" w:rsidR="00E71141" w:rsidRPr="00BA16F2" w:rsidRDefault="00E71141" w:rsidP="00F35B9A">
      <w:pPr>
        <w:rPr>
          <w:rFonts w:cs="Times New Roman"/>
          <w:szCs w:val="24"/>
          <w:lang w:val="es-ES"/>
        </w:rPr>
      </w:pPr>
      <w:r w:rsidRPr="00BA16F2">
        <w:rPr>
          <w:rFonts w:cs="Times New Roman"/>
          <w:szCs w:val="24"/>
          <w:lang w:val="es-ES"/>
        </w:rPr>
        <w:t>¿Es éticamente suficiente que una empresa ofrezca productos "verdes" si mantiene un modelo de negocio basado en el aumento constante del consumo? Justifique.</w:t>
      </w:r>
    </w:p>
    <w:p w14:paraId="0CAAECCC" w14:textId="77777777" w:rsidR="00E71141" w:rsidRPr="00BA16F2" w:rsidRDefault="00E71141" w:rsidP="00F35B9A">
      <w:pPr>
        <w:rPr>
          <w:rFonts w:cs="Times New Roman"/>
          <w:szCs w:val="24"/>
          <w:lang w:val="es-ES"/>
        </w:rPr>
      </w:pPr>
      <w:r w:rsidRPr="00BA16F2">
        <w:rPr>
          <w:rFonts w:cs="Times New Roman"/>
          <w:szCs w:val="24"/>
          <w:lang w:val="es-ES"/>
        </w:rPr>
        <w:t>Pregunta 2</w:t>
      </w:r>
    </w:p>
    <w:p w14:paraId="144B0CAD" w14:textId="77777777" w:rsidR="00E71141" w:rsidRPr="00BA16F2" w:rsidRDefault="00E71141" w:rsidP="00F35B9A">
      <w:pPr>
        <w:rPr>
          <w:rFonts w:cs="Times New Roman"/>
          <w:szCs w:val="24"/>
          <w:lang w:val="es-ES"/>
        </w:rPr>
      </w:pPr>
      <w:r w:rsidRPr="00BA16F2">
        <w:rPr>
          <w:rFonts w:cs="Times New Roman"/>
          <w:szCs w:val="24"/>
          <w:lang w:val="es-ES"/>
        </w:rPr>
        <w:t>¿Cómo influye el contexto económico y cultural de una persona en lo que puede considerarse un comportamiento de consumo ético?</w:t>
      </w:r>
    </w:p>
    <w:p w14:paraId="1E321607" w14:textId="77777777" w:rsidR="00E71141" w:rsidRPr="00BA16F2" w:rsidRDefault="00E71141" w:rsidP="00F35B9A">
      <w:pPr>
        <w:rPr>
          <w:rFonts w:cs="Times New Roman"/>
          <w:szCs w:val="24"/>
          <w:lang w:val="es-ES"/>
        </w:rPr>
      </w:pPr>
      <w:r w:rsidRPr="00BA16F2">
        <w:rPr>
          <w:rFonts w:cs="Times New Roman"/>
          <w:szCs w:val="24"/>
          <w:lang w:val="es-ES"/>
        </w:rPr>
        <w:t>Pregunta 3</w:t>
      </w:r>
    </w:p>
    <w:p w14:paraId="0283C178" w14:textId="77777777" w:rsidR="00E71141" w:rsidRPr="00BA16F2" w:rsidRDefault="00E71141" w:rsidP="00F35B9A">
      <w:pPr>
        <w:rPr>
          <w:rFonts w:cs="Times New Roman"/>
          <w:szCs w:val="24"/>
          <w:lang w:val="es-ES"/>
        </w:rPr>
      </w:pPr>
      <w:r w:rsidRPr="00BA16F2">
        <w:rPr>
          <w:rFonts w:cs="Times New Roman"/>
          <w:szCs w:val="24"/>
          <w:lang w:val="es-ES"/>
        </w:rPr>
        <w:t>¿Considera justo exigir la misma reducción de consumo a una persona de bajos ingresos que a un consumidor de altos ingresos? Explique.</w:t>
      </w:r>
    </w:p>
    <w:p w14:paraId="13A1D18B" w14:textId="77777777" w:rsidR="00E71141" w:rsidRPr="00BA16F2" w:rsidRDefault="00E71141" w:rsidP="00F35B9A">
      <w:pPr>
        <w:rPr>
          <w:rFonts w:cs="Times New Roman"/>
          <w:szCs w:val="24"/>
          <w:lang w:val="es-ES"/>
        </w:rPr>
      </w:pPr>
      <w:r w:rsidRPr="00BA16F2">
        <w:rPr>
          <w:rFonts w:cs="Times New Roman"/>
          <w:szCs w:val="24"/>
          <w:lang w:val="es-ES"/>
        </w:rPr>
        <w:lastRenderedPageBreak/>
        <w:t>Pregunta 4</w:t>
      </w:r>
    </w:p>
    <w:p w14:paraId="41F076C6" w14:textId="77777777" w:rsidR="00E71141" w:rsidRPr="00BA16F2" w:rsidRDefault="00E71141" w:rsidP="00F35B9A">
      <w:pPr>
        <w:rPr>
          <w:rFonts w:cs="Times New Roman"/>
          <w:szCs w:val="24"/>
          <w:lang w:val="es-ES"/>
        </w:rPr>
      </w:pPr>
      <w:r w:rsidRPr="00BA16F2">
        <w:rPr>
          <w:rFonts w:cs="Times New Roman"/>
          <w:szCs w:val="24"/>
          <w:lang w:val="es-ES"/>
        </w:rPr>
        <w:t>¿Qué limitaciones tiene la idea de que los consumidores son completamente responsables de los problemas ambientales?</w:t>
      </w:r>
    </w:p>
    <w:p w14:paraId="41095A07" w14:textId="77777777" w:rsidR="00F35B9A" w:rsidRPr="00BA16F2" w:rsidRDefault="00F35B9A" w:rsidP="00F35B9A">
      <w:pPr>
        <w:rPr>
          <w:rFonts w:cs="Times New Roman"/>
          <w:szCs w:val="24"/>
          <w:lang w:val="es-ES"/>
        </w:rPr>
      </w:pPr>
      <w:r w:rsidRPr="00BA16F2">
        <w:rPr>
          <w:rFonts w:cs="Times New Roman"/>
          <w:szCs w:val="24"/>
          <w:lang w:val="es-ES"/>
        </w:rPr>
        <w:br w:type="page"/>
      </w:r>
    </w:p>
    <w:p w14:paraId="1ECF9F0E" w14:textId="77777777" w:rsidR="00775210" w:rsidRDefault="00775210" w:rsidP="00775210">
      <w:pPr>
        <w:pStyle w:val="Ttulo1"/>
        <w:rPr>
          <w:highlight w:val="yellow"/>
          <w:lang w:val="es-ES"/>
        </w:rPr>
      </w:pPr>
      <w:r>
        <w:rPr>
          <w:highlight w:val="yellow"/>
          <w:lang w:val="es-ES"/>
        </w:rPr>
        <w:lastRenderedPageBreak/>
        <w:t>Caso 3</w:t>
      </w:r>
      <w:r w:rsidR="00F35B9A" w:rsidRPr="00BA16F2">
        <w:rPr>
          <w:highlight w:val="yellow"/>
          <w:lang w:val="es-ES"/>
        </w:rPr>
        <w:t xml:space="preserve"> </w:t>
      </w:r>
    </w:p>
    <w:p w14:paraId="1E158DC4" w14:textId="77777777" w:rsidR="00F35B9A" w:rsidRPr="00BA16F2" w:rsidRDefault="00F35B9A" w:rsidP="00F35B9A">
      <w:pPr>
        <w:rPr>
          <w:rFonts w:cs="Times New Roman"/>
          <w:b/>
          <w:szCs w:val="24"/>
          <w:lang w:val="es-ES"/>
        </w:rPr>
      </w:pPr>
      <w:r w:rsidRPr="00BA16F2">
        <w:rPr>
          <w:rFonts w:cs="Times New Roman"/>
          <w:b/>
          <w:szCs w:val="24"/>
          <w:highlight w:val="yellow"/>
          <w:lang w:val="es-ES"/>
        </w:rPr>
        <w:t>Reexamen de la desigualdad: La influencia del enfoque de capacidades en la gobernanza global y corporativa.</w:t>
      </w:r>
    </w:p>
    <w:p w14:paraId="3BEC5C17" w14:textId="77777777" w:rsidR="00F35B9A" w:rsidRPr="00BA16F2" w:rsidRDefault="00F35B9A" w:rsidP="00F35B9A">
      <w:pPr>
        <w:rPr>
          <w:rFonts w:cs="Times New Roman"/>
          <w:szCs w:val="24"/>
          <w:lang w:val="es-ES"/>
        </w:rPr>
      </w:pPr>
      <w:proofErr w:type="spellStart"/>
      <w:r w:rsidRPr="00BA16F2">
        <w:rPr>
          <w:rFonts w:cs="Times New Roman"/>
          <w:b/>
          <w:bCs/>
          <w:szCs w:val="24"/>
          <w:lang w:val="es-ES"/>
        </w:rPr>
        <w:t>Nelarine</w:t>
      </w:r>
      <w:proofErr w:type="spellEnd"/>
      <w:r w:rsidRPr="00BA16F2">
        <w:rPr>
          <w:rFonts w:cs="Times New Roman"/>
          <w:b/>
          <w:bCs/>
          <w:szCs w:val="24"/>
          <w:lang w:val="es-ES"/>
        </w:rPr>
        <w:t xml:space="preserve"> Cornelius</w:t>
      </w:r>
    </w:p>
    <w:p w14:paraId="7595A78F" w14:textId="77777777" w:rsidR="00F35B9A" w:rsidRPr="00BA16F2" w:rsidRDefault="00F35B9A" w:rsidP="00F35B9A">
      <w:pPr>
        <w:rPr>
          <w:rFonts w:cs="Times New Roman"/>
          <w:szCs w:val="24"/>
          <w:lang w:val="es-ES"/>
        </w:rPr>
      </w:pPr>
      <w:r w:rsidRPr="00BA16F2">
        <w:rPr>
          <w:rFonts w:cs="Times New Roman"/>
          <w:b/>
          <w:bCs/>
          <w:szCs w:val="24"/>
          <w:lang w:val="es-ES"/>
        </w:rPr>
        <w:t>Introducción</w:t>
      </w:r>
    </w:p>
    <w:p w14:paraId="094A048D" w14:textId="77777777" w:rsidR="00F35B9A" w:rsidRPr="00BA16F2" w:rsidRDefault="00F35B9A" w:rsidP="00F35B9A">
      <w:pPr>
        <w:rPr>
          <w:rFonts w:cs="Times New Roman"/>
          <w:szCs w:val="24"/>
          <w:lang w:val="es-ES"/>
        </w:rPr>
      </w:pPr>
      <w:r w:rsidRPr="00BA16F2">
        <w:rPr>
          <w:rFonts w:cs="Times New Roman"/>
          <w:szCs w:val="24"/>
          <w:lang w:val="es-ES"/>
        </w:rPr>
        <w:t xml:space="preserve">El Enfoque de Capacidades (EC), desarrollado por Amartya Sen, economista del bienestar y filósofo, y Martha Nussbaum, filósofa clásica, ha captado la atención al más alto nivel, al igual que la obra de Mahbub </w:t>
      </w:r>
      <w:proofErr w:type="spellStart"/>
      <w:r w:rsidRPr="00BA16F2">
        <w:rPr>
          <w:rFonts w:cs="Times New Roman"/>
          <w:szCs w:val="24"/>
          <w:lang w:val="es-ES"/>
        </w:rPr>
        <w:t>ul</w:t>
      </w:r>
      <w:proofErr w:type="spellEnd"/>
      <w:r w:rsidRPr="00BA16F2">
        <w:rPr>
          <w:rFonts w:cs="Times New Roman"/>
          <w:szCs w:val="24"/>
          <w:lang w:val="es-ES"/>
        </w:rPr>
        <w:t xml:space="preserve"> </w:t>
      </w:r>
      <w:proofErr w:type="spellStart"/>
      <w:r w:rsidRPr="00BA16F2">
        <w:rPr>
          <w:rFonts w:cs="Times New Roman"/>
          <w:szCs w:val="24"/>
          <w:lang w:val="es-ES"/>
        </w:rPr>
        <w:t>Haq</w:t>
      </w:r>
      <w:proofErr w:type="spellEnd"/>
      <w:r w:rsidRPr="00BA16F2">
        <w:rPr>
          <w:rFonts w:cs="Times New Roman"/>
          <w:szCs w:val="24"/>
          <w:lang w:val="es-ES"/>
        </w:rPr>
        <w:t xml:space="preserve">, el economista pakistaní que lideró el equipo que elaboró ​​el Informe sobre Desarrollo Humano (IDH) y el Índice de Desarrollo Humano (IDH) de las Naciones Unidas: las cuestiones de dignidad humana y desarrollo fueron una preocupación fundamental a lo largo de su trayectoria profesional. Esto se produjo tras el desafío práctico que supuso para </w:t>
      </w:r>
      <w:proofErr w:type="spellStart"/>
      <w:r w:rsidRPr="00BA16F2">
        <w:rPr>
          <w:rFonts w:cs="Times New Roman"/>
          <w:szCs w:val="24"/>
          <w:lang w:val="es-ES"/>
        </w:rPr>
        <w:t>ul</w:t>
      </w:r>
      <w:proofErr w:type="spellEnd"/>
      <w:r w:rsidRPr="00BA16F2">
        <w:rPr>
          <w:rFonts w:cs="Times New Roman"/>
          <w:szCs w:val="24"/>
          <w:lang w:val="es-ES"/>
        </w:rPr>
        <w:t xml:space="preserve"> </w:t>
      </w:r>
      <w:proofErr w:type="spellStart"/>
      <w:r w:rsidRPr="00BA16F2">
        <w:rPr>
          <w:rFonts w:cs="Times New Roman"/>
          <w:szCs w:val="24"/>
          <w:lang w:val="es-ES"/>
        </w:rPr>
        <w:t>Haq</w:t>
      </w:r>
      <w:proofErr w:type="spellEnd"/>
      <w:r w:rsidRPr="00BA16F2">
        <w:rPr>
          <w:rFonts w:cs="Times New Roman"/>
          <w:szCs w:val="24"/>
          <w:lang w:val="es-ES"/>
        </w:rPr>
        <w:t xml:space="preserve"> el alto cargo de Ministro de Finanzas de Pakistán en la década de 1980. Durante los últimos 50 años, el EC y sus aplicaciones han sido utilizados por institutos internacionales, gobiernos nacionales, organizaciones benéficas internacionales, organizaciones no gubernamentales (ONG), corporaciones multinacionales y, por supuesto, académicos, incluidos los del campo de la ética empresarial. La obra de Sen y Nussbaum ha atraído la mayor atención de los estudiosos de la ética empresarial, mientras que los artículos que hacen referencia a la obra de </w:t>
      </w:r>
      <w:proofErr w:type="spellStart"/>
      <w:r w:rsidRPr="00BA16F2">
        <w:rPr>
          <w:rFonts w:cs="Times New Roman"/>
          <w:szCs w:val="24"/>
          <w:lang w:val="es-ES"/>
        </w:rPr>
        <w:t>ul</w:t>
      </w:r>
      <w:proofErr w:type="spellEnd"/>
      <w:r w:rsidRPr="00BA16F2">
        <w:rPr>
          <w:rFonts w:cs="Times New Roman"/>
          <w:szCs w:val="24"/>
          <w:lang w:val="es-ES"/>
        </w:rPr>
        <w:t xml:space="preserve"> </w:t>
      </w:r>
      <w:proofErr w:type="spellStart"/>
      <w:r w:rsidRPr="00BA16F2">
        <w:rPr>
          <w:rFonts w:cs="Times New Roman"/>
          <w:szCs w:val="24"/>
          <w:lang w:val="es-ES"/>
        </w:rPr>
        <w:t>Haq</w:t>
      </w:r>
      <w:proofErr w:type="spellEnd"/>
      <w:r w:rsidRPr="00BA16F2">
        <w:rPr>
          <w:rFonts w:cs="Times New Roman"/>
          <w:szCs w:val="24"/>
          <w:lang w:val="es-ES"/>
        </w:rPr>
        <w:t xml:space="preserve"> son mucho menos numerosos, a pesar del impacto significativo de sus ideas.</w:t>
      </w:r>
    </w:p>
    <w:p w14:paraId="779D4267" w14:textId="77777777" w:rsidR="00F35B9A" w:rsidRPr="00BA16F2" w:rsidRDefault="00F35B9A" w:rsidP="00F35B9A">
      <w:pPr>
        <w:rPr>
          <w:rFonts w:cs="Times New Roman"/>
          <w:szCs w:val="24"/>
          <w:lang w:val="es-ES"/>
        </w:rPr>
      </w:pPr>
      <w:r w:rsidRPr="00BA16F2">
        <w:rPr>
          <w:rFonts w:cs="Times New Roman"/>
          <w:b/>
          <w:bCs/>
          <w:szCs w:val="24"/>
          <w:lang w:val="es-ES"/>
        </w:rPr>
        <w:t>Amartya Sen: Una búsqueda de toda una vida para abordar las desigualdades</w:t>
      </w:r>
    </w:p>
    <w:p w14:paraId="6709578F" w14:textId="77777777" w:rsidR="00F35B9A" w:rsidRPr="00BA16F2" w:rsidRDefault="00F35B9A" w:rsidP="00F35B9A">
      <w:pPr>
        <w:rPr>
          <w:rFonts w:cs="Times New Roman"/>
          <w:szCs w:val="24"/>
          <w:lang w:val="es-ES"/>
        </w:rPr>
      </w:pPr>
      <w:r w:rsidRPr="00BA16F2">
        <w:rPr>
          <w:rFonts w:cs="Times New Roman"/>
          <w:szCs w:val="24"/>
          <w:lang w:val="es-ES"/>
        </w:rPr>
        <w:t>Tuve un encuentro fortuito con el libro recientemente publicado de Amartya Sen, * </w:t>
      </w:r>
      <w:r w:rsidRPr="00BA16F2">
        <w:rPr>
          <w:rFonts w:cs="Times New Roman"/>
          <w:i/>
          <w:iCs/>
          <w:szCs w:val="24"/>
          <w:lang w:val="es-ES"/>
        </w:rPr>
        <w:t>Desarrollo como libertad*,</w:t>
      </w:r>
      <w:r w:rsidRPr="00BA16F2">
        <w:rPr>
          <w:rFonts w:cs="Times New Roman"/>
          <w:szCs w:val="24"/>
          <w:lang w:val="es-ES"/>
        </w:rPr>
        <w:t> y con su obra anterior, * </w:t>
      </w:r>
      <w:r w:rsidRPr="00BA16F2">
        <w:rPr>
          <w:rFonts w:cs="Times New Roman"/>
          <w:i/>
          <w:iCs/>
          <w:szCs w:val="24"/>
          <w:lang w:val="es-ES"/>
        </w:rPr>
        <w:t>La desigualdad reexaminada</w:t>
      </w:r>
      <w:r w:rsidRPr="00BA16F2">
        <w:rPr>
          <w:rFonts w:cs="Times New Roman"/>
          <w:szCs w:val="24"/>
          <w:lang w:val="es-ES"/>
        </w:rPr>
        <w:t xml:space="preserve"> *, que un colega me había recomendado leer tras asistir a una conferencia suya en Oxford. Los libros fueron una revelación, brindándome nuevas perspectivas y una comprensión más clara </w:t>
      </w:r>
      <w:r w:rsidRPr="00BA16F2">
        <w:rPr>
          <w:rFonts w:cs="Times New Roman"/>
          <w:szCs w:val="24"/>
          <w:lang w:val="es-ES"/>
        </w:rPr>
        <w:lastRenderedPageBreak/>
        <w:t>de las dificultades intelectuales y prácticas que implica abordar la desigualdad y la justicia social. El pensamiento de Sen se forjó en la confluencia del razonamiento teórico, empírico y práctico. Su obra representó un desafío directo no solo a las preocupaciones normativas de los economistas del bienestar, sino también, de manera más general, a la cuestión de cómo se puede comprender la desigualdad de manera diferente.</w:t>
      </w:r>
    </w:p>
    <w:p w14:paraId="6C7109C0" w14:textId="77777777" w:rsidR="00F35B9A" w:rsidRPr="00BA16F2" w:rsidRDefault="00F35B9A" w:rsidP="00F35B9A">
      <w:pPr>
        <w:rPr>
          <w:rFonts w:cs="Times New Roman"/>
          <w:szCs w:val="24"/>
          <w:lang w:val="es-ES"/>
        </w:rPr>
      </w:pPr>
      <w:r w:rsidRPr="00BA16F2">
        <w:rPr>
          <w:rFonts w:cs="Times New Roman"/>
          <w:szCs w:val="24"/>
          <w:lang w:val="es-ES"/>
        </w:rPr>
        <w:t>Cuando Amartya Sen recibió el Premio Nobel por su trabajo en Contabilidad (su premio fue otorgado en la categoría de Economía del Bienestar), donó una bicicleta antigua al Museo Nobel, la misma que usó para viajar por la India y conocer de primera mano la vida de los pobres urbanos y rurales. Durante la hambruna de Bengala, Sen impartió clases a los niños pobres para mejorar sus oportunidades. Para su estudio sobre indicadores de desarrollo infantil temprano en la India, recorrió el país, aprovechando el ferrocarril y su fiel bicicleta. Posteriormente, durante sus viajes por la India, pesó a bebés y niños pequeños, habló con familias sobre los desafíos que enfrentaban y sus aspiraciones para sus hijos.</w:t>
      </w:r>
    </w:p>
    <w:p w14:paraId="478FEDCE" w14:textId="77777777" w:rsidR="00F35B9A" w:rsidRPr="00BA16F2" w:rsidRDefault="00F35B9A" w:rsidP="00F35B9A">
      <w:pPr>
        <w:rPr>
          <w:rFonts w:cs="Times New Roman"/>
          <w:szCs w:val="24"/>
          <w:lang w:val="es-ES"/>
        </w:rPr>
      </w:pPr>
      <w:r w:rsidRPr="00BA16F2">
        <w:rPr>
          <w:rFonts w:cs="Times New Roman"/>
          <w:szCs w:val="24"/>
          <w:lang w:val="es-ES"/>
        </w:rPr>
        <w:t xml:space="preserve">El trabajo de Sen sobre poblaciones y pobreza, y en particular su trabajo sobre los "100 millones de mujeres desaparecidas" a principios de la década de 1990, también fue fundamental para moldear su pensamiento. Sen investigó las razones de la escasez de mujeres (en relación con el número esperado de mujeres, dadas las tasas habituales de natalidad y supervivencia) en Asia, Oriente Medio, el norte de África y América Latina en comparación con otros países y regiones, medida a través de la proporción de sexos entre hombres y mujeres. Su análisis econométrico identificó la desventaja de género sistemática y permanente desde antes del nacimiento (con las niñas más propensas a ser abortadas por ser "menos valoradas") y a lo largo de sus vidas: "Estas cifras nos cuentan, silenciosamente, una terrible historia de desigualdad y abandono que conduce al exceso de mortalidad femenina: las regiones y naciones que no permiten que las mujeres alcancen su máximo potencial tienen </w:t>
      </w:r>
      <w:r w:rsidRPr="00BA16F2">
        <w:rPr>
          <w:rFonts w:cs="Times New Roman"/>
          <w:szCs w:val="24"/>
          <w:lang w:val="es-ES"/>
        </w:rPr>
        <w:lastRenderedPageBreak/>
        <w:t>más probabilidades de tener un desempeño inferior, en términos de su desarrollo general y el ritmo de desarrollo, incluido el desarrollo económico </w:t>
      </w:r>
      <w:r w:rsidRPr="00BA16F2">
        <w:rPr>
          <w:rFonts w:cs="Times New Roman"/>
          <w:i/>
          <w:iCs/>
          <w:szCs w:val="24"/>
          <w:lang w:val="es-ES"/>
        </w:rPr>
        <w:t>"</w:t>
      </w:r>
      <w:r w:rsidRPr="00BA16F2">
        <w:rPr>
          <w:rFonts w:cs="Times New Roman"/>
          <w:szCs w:val="24"/>
          <w:lang w:val="es-ES"/>
        </w:rPr>
        <w:t> (Sen, </w:t>
      </w:r>
      <w:hyperlink r:id="rId4" w:anchor="ref-CR93" w:tooltip="Sen, A. (1990). Más de 100 millones de mujeres están desaparecidas. The New York Review, 20 de diciembre. https://www.nybooks.com/articles/1990/12/20/more-than-100-million-women-are-missing/ ." w:history="1">
        <w:r w:rsidRPr="00BA16F2">
          <w:rPr>
            <w:rStyle w:val="Hipervnculo"/>
            <w:rFonts w:cs="Times New Roman"/>
            <w:color w:val="000000" w:themeColor="text1"/>
            <w:szCs w:val="24"/>
            <w:lang w:val="es-ES"/>
          </w:rPr>
          <w:t>1990</w:t>
        </w:r>
      </w:hyperlink>
      <w:r w:rsidRPr="00BA16F2">
        <w:rPr>
          <w:rFonts w:cs="Times New Roman"/>
          <w:szCs w:val="24"/>
          <w:lang w:val="es-ES"/>
        </w:rPr>
        <w:t> ).</w:t>
      </w:r>
    </w:p>
    <w:p w14:paraId="77A2D6C4" w14:textId="77777777" w:rsidR="00F35B9A" w:rsidRPr="00BA16F2" w:rsidRDefault="00F35B9A" w:rsidP="00F35B9A">
      <w:pPr>
        <w:rPr>
          <w:rFonts w:cs="Times New Roman"/>
          <w:szCs w:val="24"/>
          <w:lang w:val="es-ES"/>
        </w:rPr>
      </w:pPr>
      <w:r w:rsidRPr="00BA16F2">
        <w:rPr>
          <w:rFonts w:cs="Times New Roman"/>
          <w:szCs w:val="24"/>
          <w:lang w:val="es-ES"/>
        </w:rPr>
        <w:br/>
      </w:r>
    </w:p>
    <w:p w14:paraId="3D1622BA" w14:textId="77777777" w:rsidR="00F35B9A" w:rsidRPr="00BA16F2" w:rsidRDefault="00F35B9A" w:rsidP="00F35B9A">
      <w:pPr>
        <w:rPr>
          <w:rFonts w:cs="Times New Roman"/>
          <w:szCs w:val="24"/>
          <w:lang w:val="es-ES"/>
        </w:rPr>
      </w:pPr>
      <w:r w:rsidRPr="00BA16F2">
        <w:rPr>
          <w:rFonts w:cs="Times New Roman"/>
          <w:b/>
          <w:bCs/>
          <w:szCs w:val="24"/>
          <w:lang w:val="es-ES"/>
        </w:rPr>
        <w:t xml:space="preserve">Ética </w:t>
      </w:r>
      <w:proofErr w:type="spellStart"/>
      <w:r w:rsidRPr="00BA16F2">
        <w:rPr>
          <w:rFonts w:cs="Times New Roman"/>
          <w:b/>
          <w:bCs/>
          <w:szCs w:val="24"/>
          <w:lang w:val="es-ES"/>
        </w:rPr>
        <w:t>neoaristotélica</w:t>
      </w:r>
      <w:proofErr w:type="spellEnd"/>
      <w:r w:rsidRPr="00BA16F2">
        <w:rPr>
          <w:rFonts w:cs="Times New Roman"/>
          <w:b/>
          <w:bCs/>
          <w:szCs w:val="24"/>
          <w:lang w:val="es-ES"/>
        </w:rPr>
        <w:t>: El enfoque de la capacidad/capacidades</w:t>
      </w:r>
    </w:p>
    <w:p w14:paraId="153F076C" w14:textId="77777777" w:rsidR="00F35B9A" w:rsidRPr="00BA16F2" w:rsidRDefault="00F35B9A" w:rsidP="00F35B9A">
      <w:pPr>
        <w:rPr>
          <w:rFonts w:cs="Times New Roman"/>
          <w:szCs w:val="24"/>
          <w:lang w:val="es-ES"/>
        </w:rPr>
      </w:pPr>
      <w:r w:rsidRPr="00BA16F2">
        <w:rPr>
          <w:rFonts w:cs="Times New Roman"/>
          <w:szCs w:val="24"/>
          <w:lang w:val="es-ES"/>
        </w:rPr>
        <w:t xml:space="preserve">La CA tiene sus críticos, preocupados por lo que argumentan que son sus aspectos universalistas e individualistas, y afirmados por algunos, neoliberales. El PNUD encargó una revisión sobre la CA y el Desarrollo Humano en 2016 para reflexionar sobre sus fortalezas y críticas. </w:t>
      </w:r>
      <w:proofErr w:type="spellStart"/>
      <w:r w:rsidRPr="00BA16F2">
        <w:rPr>
          <w:rFonts w:cs="Times New Roman"/>
          <w:szCs w:val="24"/>
          <w:lang w:val="es-ES"/>
        </w:rPr>
        <w:t>Osmani</w:t>
      </w:r>
      <w:proofErr w:type="spellEnd"/>
      <w:r w:rsidRPr="00BA16F2">
        <w:rPr>
          <w:rFonts w:cs="Times New Roman"/>
          <w:szCs w:val="24"/>
          <w:lang w:val="es-ES"/>
        </w:rPr>
        <w:t xml:space="preserve"> ( </w:t>
      </w:r>
      <w:hyperlink r:id="rId5" w:anchor="ref-CR79" w:tooltip="Osmani, SR (2016). El enfoque de capacidades y el desarrollo humano: algunas reflexiones. Documento de reflexión del PNUD, consultado el 22 de marzo de 2022 en https://hdr.undp.org/sites/default/files/osmani_template.pdf." w:history="1">
        <w:r w:rsidRPr="00BA16F2">
          <w:rPr>
            <w:rStyle w:val="Hipervnculo"/>
            <w:rFonts w:cs="Times New Roman"/>
            <w:color w:val="000000" w:themeColor="text1"/>
            <w:szCs w:val="24"/>
            <w:lang w:val="es-ES"/>
          </w:rPr>
          <w:t>2016</w:t>
        </w:r>
      </w:hyperlink>
      <w:r w:rsidRPr="00BA16F2">
        <w:rPr>
          <w:rFonts w:cs="Times New Roman"/>
          <w:szCs w:val="24"/>
          <w:lang w:val="es-ES"/>
        </w:rPr>
        <w:t> ) encontró que muchas de las críticas eran infundadas y se basaban en una interpretación errónea de la lógica filosófica que sustenta la CA, así como en la preocupación normativa de que "el discurso del desarrollo humano adopta correctamente el principio del individualismo ético o normativo" (</w:t>
      </w:r>
      <w:proofErr w:type="spellStart"/>
      <w:r w:rsidRPr="00BA16F2">
        <w:rPr>
          <w:rFonts w:cs="Times New Roman"/>
          <w:szCs w:val="24"/>
          <w:lang w:val="es-ES"/>
        </w:rPr>
        <w:t>Osmani</w:t>
      </w:r>
      <w:proofErr w:type="spellEnd"/>
      <w:r w:rsidRPr="00BA16F2">
        <w:rPr>
          <w:rFonts w:cs="Times New Roman"/>
          <w:szCs w:val="24"/>
          <w:lang w:val="es-ES"/>
        </w:rPr>
        <w:t>, </w:t>
      </w:r>
      <w:hyperlink r:id="rId6" w:anchor="ref-CR79" w:tooltip="Osmani, SR (2016). El enfoque de capacidades y el desarrollo humano: algunas reflexiones. Documento de reflexión del PNUD, consultado el 22 de marzo de 2022 en https://hdr.undp.org/sites/default/files/osmani_template.pdf." w:history="1">
        <w:r w:rsidRPr="00BA16F2">
          <w:rPr>
            <w:rStyle w:val="Hipervnculo"/>
            <w:rFonts w:cs="Times New Roman"/>
            <w:color w:val="000000" w:themeColor="text1"/>
            <w:szCs w:val="24"/>
            <w:lang w:val="es-ES"/>
          </w:rPr>
          <w:t>2016</w:t>
        </w:r>
      </w:hyperlink>
      <w:r w:rsidRPr="00BA16F2">
        <w:rPr>
          <w:rFonts w:cs="Times New Roman"/>
          <w:szCs w:val="24"/>
          <w:lang w:val="es-ES"/>
        </w:rPr>
        <w:t xml:space="preserve"> , p. 19), para evitar que una comunidad disfrute de derechos mientras que a otras se les niegan. Un análisis detallado de la CA está fuera del alcance de este breve resumen. Elementos importantes de la CA son, en primer lugar, que sus principales antecedentes filosóficos son </w:t>
      </w:r>
      <w:proofErr w:type="spellStart"/>
      <w:r w:rsidRPr="00BA16F2">
        <w:rPr>
          <w:rFonts w:cs="Times New Roman"/>
          <w:szCs w:val="24"/>
          <w:lang w:val="es-ES"/>
        </w:rPr>
        <w:t>neoaristotélicos</w:t>
      </w:r>
      <w:proofErr w:type="spellEnd"/>
      <w:r w:rsidRPr="00BA16F2">
        <w:rPr>
          <w:rFonts w:cs="Times New Roman"/>
          <w:szCs w:val="24"/>
          <w:lang w:val="es-ES"/>
        </w:rPr>
        <w:t>, otorgando importancia a un concepto aristotélico, </w:t>
      </w:r>
      <w:r w:rsidRPr="00BA16F2">
        <w:rPr>
          <w:rFonts w:cs="Times New Roman"/>
          <w:i/>
          <w:iCs/>
          <w:szCs w:val="24"/>
          <w:lang w:val="es-ES"/>
        </w:rPr>
        <w:t xml:space="preserve">la </w:t>
      </w:r>
      <w:proofErr w:type="gramStart"/>
      <w:r w:rsidRPr="00BA16F2">
        <w:rPr>
          <w:rFonts w:cs="Times New Roman"/>
          <w:i/>
          <w:iCs/>
          <w:szCs w:val="24"/>
          <w:lang w:val="es-ES"/>
        </w:rPr>
        <w:t>eudaimonía</w:t>
      </w:r>
      <w:r w:rsidRPr="00BA16F2">
        <w:rPr>
          <w:rFonts w:cs="Times New Roman"/>
          <w:szCs w:val="24"/>
          <w:lang w:val="es-ES"/>
        </w:rPr>
        <w:t> ,</w:t>
      </w:r>
      <w:proofErr w:type="gramEnd"/>
      <w:r w:rsidRPr="00BA16F2">
        <w:rPr>
          <w:rFonts w:cs="Times New Roman"/>
          <w:szCs w:val="24"/>
          <w:lang w:val="es-ES"/>
        </w:rPr>
        <w:t xml:space="preserve"> una vida bien vivida, y lo que esto significaría en los tiempos modernos. Esta fue la idea fundamental que pudo desarrollarse en términos de significados modernos y globalmente relevantes de calidad de vida, florecimiento humano y dignidad humana. Al plantear la pregunta "¿igualdad de qué?", ​​las respuestas surgieron de la revisión detallada que Sen hizo del pensamiento utilitarista, kantiano y </w:t>
      </w:r>
      <w:proofErr w:type="spellStart"/>
      <w:r w:rsidRPr="00BA16F2">
        <w:rPr>
          <w:rFonts w:cs="Times New Roman"/>
          <w:szCs w:val="24"/>
          <w:lang w:val="es-ES"/>
        </w:rPr>
        <w:t>rawlsiano</w:t>
      </w:r>
      <w:proofErr w:type="spellEnd"/>
      <w:r w:rsidRPr="00BA16F2">
        <w:rPr>
          <w:rFonts w:cs="Times New Roman"/>
          <w:szCs w:val="24"/>
          <w:lang w:val="es-ES"/>
        </w:rPr>
        <w:t xml:space="preserve">. Sen reconoce su deuda con Rawls, pero mientras que Rawls se centra en los medios de libertad (bienes primarios), Sen argumenta que la igualdad de oportunidades definida estándar es controvertida, porque "(1) la diversidad fundamental de los seres humanos, y (2) la existencia e importancia de varios medios (como los ingresos y la riqueza) </w:t>
      </w:r>
      <w:r w:rsidRPr="00BA16F2">
        <w:rPr>
          <w:rFonts w:cs="Times New Roman"/>
          <w:szCs w:val="24"/>
          <w:lang w:val="es-ES"/>
        </w:rPr>
        <w:lastRenderedPageBreak/>
        <w:t>que no entran dentro del ámbito de la 'igualdad de oportunidades' definida estándar)" ( </w:t>
      </w:r>
      <w:hyperlink r:id="rId7" w:anchor="ref-CR94" w:tooltip="Sen, AK (1992). La desigualdad reexaminada. Clarendon Press." w:history="1">
        <w:r w:rsidRPr="00BA16F2">
          <w:rPr>
            <w:rStyle w:val="Hipervnculo"/>
            <w:rFonts w:cs="Times New Roman"/>
            <w:color w:val="000000" w:themeColor="text1"/>
            <w:szCs w:val="24"/>
            <w:lang w:val="es-ES"/>
          </w:rPr>
          <w:t>1992</w:t>
        </w:r>
      </w:hyperlink>
      <w:r w:rsidRPr="00BA16F2">
        <w:rPr>
          <w:rFonts w:cs="Times New Roman"/>
          <w:szCs w:val="24"/>
          <w:lang w:val="es-ES"/>
        </w:rPr>
        <w:t> , p. 7). Sen y Nussbaum compartían una visión común del CA en términos de sus principios centrales. Ambos fueron miembros fundadores y presidieron la </w:t>
      </w:r>
      <w:r w:rsidRPr="00BA16F2">
        <w:rPr>
          <w:rFonts w:cs="Times New Roman"/>
          <w:i/>
          <w:iCs/>
          <w:szCs w:val="24"/>
          <w:lang w:val="es-ES"/>
        </w:rPr>
        <w:t xml:space="preserve">Asociación para el Desarrollo Humano y la </w:t>
      </w:r>
      <w:proofErr w:type="gramStart"/>
      <w:r w:rsidRPr="00BA16F2">
        <w:rPr>
          <w:rFonts w:cs="Times New Roman"/>
          <w:i/>
          <w:iCs/>
          <w:szCs w:val="24"/>
          <w:lang w:val="es-ES"/>
        </w:rPr>
        <w:t>Capacidad</w:t>
      </w:r>
      <w:r w:rsidRPr="00BA16F2">
        <w:rPr>
          <w:rFonts w:cs="Times New Roman"/>
          <w:szCs w:val="24"/>
          <w:lang w:val="es-ES"/>
        </w:rPr>
        <w:t> ,</w:t>
      </w:r>
      <w:proofErr w:type="gramEnd"/>
      <w:r w:rsidRPr="00BA16F2">
        <w:rPr>
          <w:rFonts w:cs="Times New Roman"/>
          <w:szCs w:val="24"/>
          <w:lang w:val="es-ES"/>
        </w:rPr>
        <w:t xml:space="preserve"> fundada en 2004.</w:t>
      </w:r>
    </w:p>
    <w:p w14:paraId="2E0C8983" w14:textId="77777777" w:rsidR="00F35B9A" w:rsidRPr="00BA16F2" w:rsidRDefault="00F35B9A" w:rsidP="00F35B9A">
      <w:pPr>
        <w:rPr>
          <w:rFonts w:cs="Times New Roman"/>
          <w:szCs w:val="24"/>
          <w:lang w:val="es-ES"/>
        </w:rPr>
      </w:pPr>
      <w:r w:rsidRPr="00BA16F2">
        <w:rPr>
          <w:rFonts w:cs="Times New Roman"/>
          <w:szCs w:val="24"/>
          <w:lang w:val="es-ES"/>
        </w:rPr>
        <w:t>Esto incluye la importancia de los </w:t>
      </w:r>
      <w:r w:rsidRPr="00BA16F2">
        <w:rPr>
          <w:rFonts w:cs="Times New Roman"/>
          <w:i/>
          <w:iCs/>
          <w:szCs w:val="24"/>
          <w:lang w:val="es-ES"/>
        </w:rPr>
        <w:t>límites de las libertades</w:t>
      </w:r>
      <w:r w:rsidRPr="00BA16F2">
        <w:rPr>
          <w:rFonts w:cs="Times New Roman"/>
          <w:szCs w:val="24"/>
          <w:lang w:val="es-ES"/>
        </w:rPr>
        <w:t> y si los individuos y las comunidades son libres de perseguir aquello que consideran valioso, para así funcionar y prosperar plenamente. La fuente de los límites de las libertades reside en la igualdad para ejercer </w:t>
      </w:r>
      <w:proofErr w:type="gramStart"/>
      <w:r w:rsidRPr="00BA16F2">
        <w:rPr>
          <w:rFonts w:cs="Times New Roman"/>
          <w:i/>
          <w:iCs/>
          <w:szCs w:val="24"/>
          <w:lang w:val="es-ES"/>
        </w:rPr>
        <w:t>capacidades</w:t>
      </w:r>
      <w:r w:rsidRPr="00BA16F2">
        <w:rPr>
          <w:rFonts w:cs="Times New Roman"/>
          <w:szCs w:val="24"/>
          <w:lang w:val="es-ES"/>
        </w:rPr>
        <w:t> .</w:t>
      </w:r>
      <w:proofErr w:type="gramEnd"/>
      <w:r w:rsidRPr="00BA16F2">
        <w:rPr>
          <w:rFonts w:cs="Times New Roman"/>
          <w:szCs w:val="24"/>
          <w:lang w:val="es-ES"/>
        </w:rPr>
        <w:t xml:space="preserve"> Estas son </w:t>
      </w:r>
      <w:r w:rsidRPr="00BA16F2">
        <w:rPr>
          <w:rFonts w:cs="Times New Roman"/>
          <w:i/>
          <w:iCs/>
          <w:szCs w:val="24"/>
          <w:lang w:val="es-ES"/>
        </w:rPr>
        <w:t>capacidades básicas</w:t>
      </w:r>
      <w:r w:rsidRPr="00BA16F2">
        <w:rPr>
          <w:rFonts w:cs="Times New Roman"/>
          <w:szCs w:val="24"/>
          <w:lang w:val="es-ES"/>
        </w:rPr>
        <w:t> , habilidades innatas que poseen los individuos, las cuales, mediante la educación, la provisión de buena salud, etc., pueden desarrollarse en </w:t>
      </w:r>
      <w:r w:rsidRPr="00BA16F2">
        <w:rPr>
          <w:rFonts w:cs="Times New Roman"/>
          <w:i/>
          <w:iCs/>
          <w:szCs w:val="24"/>
          <w:lang w:val="es-ES"/>
        </w:rPr>
        <w:t>capacidades internas</w:t>
      </w:r>
      <w:r w:rsidRPr="00BA16F2">
        <w:rPr>
          <w:rFonts w:cs="Times New Roman"/>
          <w:szCs w:val="24"/>
          <w:lang w:val="es-ES"/>
        </w:rPr>
        <w:t> , la disposición para actuar dentro de las comunidades y la sociedad, las cuales pueden verse limitadas o potenciadas mediante </w:t>
      </w:r>
      <w:r w:rsidRPr="00BA16F2">
        <w:rPr>
          <w:rFonts w:cs="Times New Roman"/>
          <w:i/>
          <w:iCs/>
          <w:szCs w:val="24"/>
          <w:lang w:val="es-ES"/>
        </w:rPr>
        <w:t>capacidades combinadas</w:t>
      </w:r>
      <w:r w:rsidRPr="00BA16F2">
        <w:rPr>
          <w:rFonts w:cs="Times New Roman"/>
          <w:szCs w:val="24"/>
          <w:lang w:val="es-ES"/>
        </w:rPr>
        <w:t> , capacidades internas y la disposición para actuar, operando dentro de condiciones externas que pueden ayudar o dificultar las capacidades internas (en términos generales, el entorno sociopolítico e institucional). El conjunto de capacidades que posee un individuo es su conjunto de capacidades: el grado en que puede utilizar su </w:t>
      </w:r>
      <w:r w:rsidRPr="00BA16F2">
        <w:rPr>
          <w:rFonts w:cs="Times New Roman"/>
          <w:i/>
          <w:iCs/>
          <w:szCs w:val="24"/>
          <w:lang w:val="es-ES"/>
        </w:rPr>
        <w:t>conjunto de capacidades</w:t>
      </w:r>
      <w:r w:rsidRPr="00BA16F2">
        <w:rPr>
          <w:rFonts w:cs="Times New Roman"/>
          <w:szCs w:val="24"/>
          <w:lang w:val="es-ES"/>
        </w:rPr>
        <w:t> dentro de la sociedad es su funcionamiento realizado. </w:t>
      </w:r>
      <w:r w:rsidRPr="00BA16F2">
        <w:rPr>
          <w:rFonts w:cs="Times New Roman"/>
          <w:i/>
          <w:iCs/>
          <w:szCs w:val="24"/>
          <w:lang w:val="es-ES"/>
        </w:rPr>
        <w:t>Las libertades instrumentales</w:t>
      </w:r>
      <w:r w:rsidRPr="00BA16F2">
        <w:rPr>
          <w:rFonts w:cs="Times New Roman"/>
          <w:szCs w:val="24"/>
          <w:lang w:val="es-ES"/>
        </w:rPr>
        <w:t> son aquellos elementos dentro de una sociedad que promueven el bienestar y la calidad de vida, e incluyen libertades políticas como los derechos humanos, facilidades económicas, oportunidades para utilizar los recursos económicos (por ejemplo, ganar un salario, una remuneración justa), oportunidades sociales (instalaciones disponibles en todas las comunidades, como educación y atención médica), seguridad protectora (redes de protección social para garantizar que se mantengan las oportunidades de vida) y garantías de transparencia (lucidez, transparencia y divulgación durante los desacuerdos, con claridad y equidad en el acceso a la resolución y la reparación).</w:t>
      </w:r>
    </w:p>
    <w:p w14:paraId="320420CF" w14:textId="77777777" w:rsidR="00F35B9A" w:rsidRPr="00BA16F2" w:rsidRDefault="00F35B9A" w:rsidP="00F35B9A">
      <w:pPr>
        <w:rPr>
          <w:rFonts w:cs="Times New Roman"/>
          <w:szCs w:val="24"/>
          <w:lang w:val="es-ES"/>
        </w:rPr>
      </w:pPr>
      <w:r w:rsidRPr="00BA16F2">
        <w:rPr>
          <w:rFonts w:cs="Times New Roman"/>
          <w:szCs w:val="24"/>
          <w:lang w:val="es-ES"/>
        </w:rPr>
        <w:lastRenderedPageBreak/>
        <w:br/>
      </w:r>
    </w:p>
    <w:p w14:paraId="636B8435" w14:textId="77777777" w:rsidR="00F35B9A" w:rsidRPr="00BA16F2" w:rsidRDefault="00F35B9A" w:rsidP="00F35B9A">
      <w:pPr>
        <w:rPr>
          <w:rFonts w:cs="Times New Roman"/>
          <w:szCs w:val="24"/>
          <w:lang w:val="es-ES"/>
        </w:rPr>
      </w:pPr>
      <w:r w:rsidRPr="00BA16F2">
        <w:rPr>
          <w:rFonts w:cs="Times New Roman"/>
          <w:b/>
          <w:bCs/>
          <w:szCs w:val="24"/>
          <w:lang w:val="es-ES"/>
        </w:rPr>
        <w:t>Martha Nussbaum: Filosofía clásica aplicada a los desafíos sociales contemporáneos y divergencia de Sen</w:t>
      </w:r>
    </w:p>
    <w:p w14:paraId="2EBBCB62" w14:textId="77777777" w:rsidR="00F35B9A" w:rsidRPr="00BA16F2" w:rsidRDefault="00F35B9A" w:rsidP="00F35B9A">
      <w:pPr>
        <w:rPr>
          <w:rFonts w:cs="Times New Roman"/>
          <w:szCs w:val="24"/>
          <w:lang w:val="es-ES"/>
        </w:rPr>
      </w:pPr>
      <w:r w:rsidRPr="00BA16F2">
        <w:rPr>
          <w:rFonts w:cs="Times New Roman"/>
          <w:szCs w:val="24"/>
          <w:lang w:val="es-ES"/>
        </w:rPr>
        <w:t xml:space="preserve">La variedad de temas que la filósofa Martha Nussbaum ha abordado a lo largo de su brillante trayectoria es impresionante, y va mucho más allá del Enfoque de Capacidades (EC). Nussbaum ha mantenido un interés académico y de asesoramiento en mujeres, sexualidad y desarrollo humano. Sen y Nussbaum colaboraron en el desarrollo inicial del EC. Cabe destacar su libro </w:t>
      </w:r>
      <w:proofErr w:type="gramStart"/>
      <w:r w:rsidRPr="00BA16F2">
        <w:rPr>
          <w:rFonts w:cs="Times New Roman"/>
          <w:szCs w:val="24"/>
          <w:lang w:val="es-ES"/>
        </w:rPr>
        <w:t>« </w:t>
      </w:r>
      <w:r w:rsidRPr="00BA16F2">
        <w:rPr>
          <w:rFonts w:cs="Times New Roman"/>
          <w:i/>
          <w:iCs/>
          <w:szCs w:val="24"/>
          <w:lang w:val="es-ES"/>
        </w:rPr>
        <w:t>Mujeres</w:t>
      </w:r>
      <w:proofErr w:type="gramEnd"/>
      <w:r w:rsidRPr="00BA16F2">
        <w:rPr>
          <w:rFonts w:cs="Times New Roman"/>
          <w:i/>
          <w:iCs/>
          <w:szCs w:val="24"/>
          <w:lang w:val="es-ES"/>
        </w:rPr>
        <w:t xml:space="preserve"> y Desarrollo Humano»</w:t>
      </w:r>
      <w:r w:rsidRPr="00BA16F2">
        <w:rPr>
          <w:rFonts w:cs="Times New Roman"/>
          <w:szCs w:val="24"/>
          <w:lang w:val="es-ES"/>
        </w:rPr>
        <w:t> , publicado por UN WIDER, y las obras de Nussbaum, </w:t>
      </w:r>
      <w:r w:rsidRPr="00BA16F2">
        <w:rPr>
          <w:rFonts w:cs="Times New Roman"/>
          <w:i/>
          <w:iCs/>
          <w:szCs w:val="24"/>
          <w:lang w:val="es-ES"/>
        </w:rPr>
        <w:t>«Sexo y Justicia Social»</w:t>
      </w:r>
      <w:r w:rsidRPr="00BA16F2">
        <w:rPr>
          <w:rFonts w:cs="Times New Roman"/>
          <w:szCs w:val="24"/>
          <w:lang w:val="es-ES"/>
        </w:rPr>
        <w:t> y </w:t>
      </w:r>
      <w:r w:rsidRPr="00BA16F2">
        <w:rPr>
          <w:rFonts w:cs="Times New Roman"/>
          <w:i/>
          <w:iCs/>
          <w:szCs w:val="24"/>
          <w:lang w:val="es-ES"/>
        </w:rPr>
        <w:t>«Creación de Capacidades: El Enfoque del Desarrollo Humano».</w:t>
      </w:r>
      <w:r w:rsidRPr="00BA16F2">
        <w:rPr>
          <w:rFonts w:cs="Times New Roman"/>
          <w:szCs w:val="24"/>
          <w:lang w:val="es-ES"/>
        </w:rPr>
        <w:t> Si bien los fundamentos filosóficos de la obra de Sen y Nussbaum son muy similares, existen importantes diferencias.</w:t>
      </w:r>
    </w:p>
    <w:p w14:paraId="7576382E" w14:textId="77777777" w:rsidR="00F35B9A" w:rsidRPr="00BA16F2" w:rsidRDefault="00F35B9A" w:rsidP="00F35B9A">
      <w:pPr>
        <w:rPr>
          <w:rFonts w:cs="Times New Roman"/>
          <w:szCs w:val="24"/>
          <w:lang w:val="es-ES"/>
        </w:rPr>
      </w:pPr>
      <w:r w:rsidRPr="00BA16F2">
        <w:rPr>
          <w:rFonts w:cs="Times New Roman"/>
          <w:szCs w:val="24"/>
          <w:lang w:val="es-ES"/>
        </w:rPr>
        <w:t>Nussbaum abordó el análisis de capacidades (AC) desde una perspectiva complementaria pero diferente, destacando su desarrollo de una lista definitiva de capacidades humanas: un conjunto universal de competencias normativas generalmente protegidas por ley. Sen rechaza categóricamente esta postura, considerando dicha lista como un posible «mausoleo»: lo que ahora parece relevante podría quedar obsoleto y condicionado por el tiempo o la cultura. En su ensayo publicado en </w:t>
      </w:r>
      <w:proofErr w:type="spellStart"/>
      <w:r w:rsidRPr="00BA16F2">
        <w:rPr>
          <w:rFonts w:cs="Times New Roman"/>
          <w:i/>
          <w:iCs/>
          <w:szCs w:val="24"/>
          <w:lang w:val="es-ES"/>
        </w:rPr>
        <w:t>Feminist</w:t>
      </w:r>
      <w:proofErr w:type="spellEnd"/>
      <w:r w:rsidRPr="00BA16F2">
        <w:rPr>
          <w:rFonts w:cs="Times New Roman"/>
          <w:i/>
          <w:iCs/>
          <w:szCs w:val="24"/>
          <w:lang w:val="es-ES"/>
        </w:rPr>
        <w:t xml:space="preserve"> </w:t>
      </w:r>
      <w:proofErr w:type="spellStart"/>
      <w:proofErr w:type="gramStart"/>
      <w:r w:rsidRPr="00BA16F2">
        <w:rPr>
          <w:rFonts w:cs="Times New Roman"/>
          <w:i/>
          <w:iCs/>
          <w:szCs w:val="24"/>
          <w:lang w:val="es-ES"/>
        </w:rPr>
        <w:t>Economics</w:t>
      </w:r>
      <w:proofErr w:type="spellEnd"/>
      <w:r w:rsidRPr="00BA16F2">
        <w:rPr>
          <w:rFonts w:cs="Times New Roman"/>
          <w:szCs w:val="24"/>
          <w:lang w:val="es-ES"/>
        </w:rPr>
        <w:t> ,</w:t>
      </w:r>
      <w:proofErr w:type="gramEnd"/>
      <w:r w:rsidRPr="00BA16F2">
        <w:rPr>
          <w:rFonts w:cs="Times New Roman"/>
          <w:szCs w:val="24"/>
          <w:lang w:val="es-ES"/>
        </w:rPr>
        <w:t xml:space="preserve"> donde contrasta las perspectivas de Sen y Nussbaum sobre el AC, Ingrid </w:t>
      </w:r>
      <w:proofErr w:type="spellStart"/>
      <w:r w:rsidRPr="00BA16F2">
        <w:rPr>
          <w:rFonts w:cs="Times New Roman"/>
          <w:szCs w:val="24"/>
          <w:lang w:val="es-ES"/>
        </w:rPr>
        <w:t>Robeyns</w:t>
      </w:r>
      <w:proofErr w:type="spellEnd"/>
      <w:r w:rsidRPr="00BA16F2">
        <w:rPr>
          <w:rFonts w:cs="Times New Roman"/>
          <w:szCs w:val="24"/>
          <w:lang w:val="es-ES"/>
        </w:rPr>
        <w:t xml:space="preserve"> sostiene que la importancia de la elección social y los efectos mediadores de la voz, la agencia, el contexto, la participación comunitaria y la elección social en el desarrollo de políticas y la justicia distributiva son cruciales para diferenciar sus enfoques. </w:t>
      </w:r>
      <w:proofErr w:type="spellStart"/>
      <w:r w:rsidRPr="00BA16F2">
        <w:rPr>
          <w:rFonts w:cs="Times New Roman"/>
          <w:szCs w:val="24"/>
          <w:lang w:val="es-ES"/>
        </w:rPr>
        <w:t>Robeyns</w:t>
      </w:r>
      <w:proofErr w:type="spellEnd"/>
      <w:r w:rsidRPr="00BA16F2">
        <w:rPr>
          <w:rFonts w:cs="Times New Roman"/>
          <w:szCs w:val="24"/>
          <w:lang w:val="es-ES"/>
        </w:rPr>
        <w:t xml:space="preserve"> también señala que algunos países, como Suecia, han desarrollado sus propias listas, que contienen algunos elementos comunes a la de Nussbaum, pero también otros que difieren, ya que el contexto y la lógica </w:t>
      </w:r>
      <w:r w:rsidRPr="00BA16F2">
        <w:rPr>
          <w:rFonts w:cs="Times New Roman"/>
          <w:szCs w:val="24"/>
          <w:lang w:val="es-ES"/>
        </w:rPr>
        <w:lastRenderedPageBreak/>
        <w:t xml:space="preserve">que las sustentan reflejan imperativos del Estado sueco. El desarrollo de los Objetivos de Desarrollo Sostenible (ODS) de la ONU, cuyas raíces se encuentran en el análisis consensual, se concibió para definir su papel en el siglo XXI y sustituyó a los Objetivos de Desarrollo del Milenio. Otro ejemplo relevante es la Declaración Universal de los Derechos Humanos de la ONU, elaborada por un equipo liderado por Eleanor Roosevelt y establecida en 1948, cuatro años después de la fundación de las Naciones Unidas en 1945, tras el fin de la Segunda Guerra Mundial. En 2011, el marco de John </w:t>
      </w:r>
      <w:proofErr w:type="spellStart"/>
      <w:r w:rsidRPr="00BA16F2">
        <w:rPr>
          <w:rFonts w:cs="Times New Roman"/>
          <w:szCs w:val="24"/>
          <w:lang w:val="es-ES"/>
        </w:rPr>
        <w:t>Ruggie</w:t>
      </w:r>
      <w:proofErr w:type="spellEnd"/>
      <w:r w:rsidRPr="00BA16F2">
        <w:rPr>
          <w:rFonts w:cs="Times New Roman"/>
          <w:szCs w:val="24"/>
          <w:lang w:val="es-ES"/>
        </w:rPr>
        <w:t xml:space="preserve"> sobre empresas y derechos humanos, que se convirtió en los Principios Rectores de la ONU sobre Empresas y Derechos Humanos, complementa la declaración original de la ONU sobre Derechos Humanos al destacar las responsabilidades éticas de las empresas.</w:t>
      </w:r>
    </w:p>
    <w:p w14:paraId="535624C9" w14:textId="77777777" w:rsidR="00F35B9A" w:rsidRPr="00BA16F2" w:rsidRDefault="00F35B9A" w:rsidP="00F35B9A">
      <w:pPr>
        <w:rPr>
          <w:rFonts w:cs="Times New Roman"/>
          <w:szCs w:val="24"/>
          <w:lang w:val="es-ES"/>
        </w:rPr>
      </w:pPr>
      <w:r w:rsidRPr="00BA16F2">
        <w:rPr>
          <w:rFonts w:cs="Times New Roman"/>
          <w:b/>
          <w:bCs/>
          <w:szCs w:val="24"/>
          <w:lang w:val="es-ES"/>
        </w:rPr>
        <w:t xml:space="preserve">Mahbub ul </w:t>
      </w:r>
      <w:proofErr w:type="spellStart"/>
      <w:r w:rsidRPr="00BA16F2">
        <w:rPr>
          <w:rFonts w:cs="Times New Roman"/>
          <w:b/>
          <w:bCs/>
          <w:szCs w:val="24"/>
          <w:lang w:val="es-ES"/>
        </w:rPr>
        <w:t>Haq</w:t>
      </w:r>
      <w:proofErr w:type="spellEnd"/>
      <w:r w:rsidRPr="00BA16F2">
        <w:rPr>
          <w:rFonts w:cs="Times New Roman"/>
          <w:b/>
          <w:bCs/>
          <w:szCs w:val="24"/>
          <w:lang w:val="es-ES"/>
        </w:rPr>
        <w:t>: Operacionalización y aplicación del pensamiento CA</w:t>
      </w:r>
    </w:p>
    <w:p w14:paraId="2ACE1866" w14:textId="77777777" w:rsidR="00F35B9A" w:rsidRPr="00BA16F2" w:rsidRDefault="00F35B9A" w:rsidP="00F35B9A">
      <w:pPr>
        <w:rPr>
          <w:rFonts w:cs="Times New Roman"/>
          <w:szCs w:val="24"/>
          <w:lang w:val="es-ES"/>
        </w:rPr>
      </w:pPr>
      <w:r w:rsidRPr="00BA16F2">
        <w:rPr>
          <w:rFonts w:cs="Times New Roman"/>
          <w:szCs w:val="24"/>
          <w:lang w:val="es-ES"/>
        </w:rPr>
        <w:t>En su libro </w:t>
      </w:r>
      <w:r w:rsidRPr="00BA16F2">
        <w:rPr>
          <w:rFonts w:cs="Times New Roman"/>
          <w:i/>
          <w:iCs/>
          <w:szCs w:val="24"/>
          <w:lang w:val="es-ES"/>
        </w:rPr>
        <w:t>Reflexiones sobre el desarrollo humano,</w:t>
      </w:r>
      <w:r w:rsidRPr="00BA16F2">
        <w:rPr>
          <w:rFonts w:cs="Times New Roman"/>
          <w:szCs w:val="24"/>
          <w:lang w:val="es-ES"/>
        </w:rPr>
        <w:t xml:space="preserve"> Mahbub </w:t>
      </w:r>
      <w:proofErr w:type="spellStart"/>
      <w:r w:rsidRPr="00BA16F2">
        <w:rPr>
          <w:rFonts w:cs="Times New Roman"/>
          <w:szCs w:val="24"/>
          <w:lang w:val="es-ES"/>
        </w:rPr>
        <w:t>ul</w:t>
      </w:r>
      <w:proofErr w:type="spellEnd"/>
      <w:r w:rsidRPr="00BA16F2">
        <w:rPr>
          <w:rFonts w:cs="Times New Roman"/>
          <w:szCs w:val="24"/>
          <w:lang w:val="es-ES"/>
        </w:rPr>
        <w:t xml:space="preserve"> </w:t>
      </w:r>
      <w:proofErr w:type="spellStart"/>
      <w:r w:rsidRPr="00BA16F2">
        <w:rPr>
          <w:rFonts w:cs="Times New Roman"/>
          <w:szCs w:val="24"/>
          <w:lang w:val="es-ES"/>
        </w:rPr>
        <w:t>Haq</w:t>
      </w:r>
      <w:proofErr w:type="spellEnd"/>
      <w:r w:rsidRPr="00BA16F2">
        <w:rPr>
          <w:rFonts w:cs="Times New Roman"/>
          <w:szCs w:val="24"/>
          <w:lang w:val="es-ES"/>
        </w:rPr>
        <w:t xml:space="preserve"> hizo las siguientes observaciones:</w:t>
      </w:r>
    </w:p>
    <w:p w14:paraId="3F8AD1AE" w14:textId="77777777" w:rsidR="00F35B9A" w:rsidRPr="00BA16F2" w:rsidRDefault="00F35B9A" w:rsidP="00F35B9A">
      <w:pPr>
        <w:rPr>
          <w:rFonts w:cs="Times New Roman"/>
          <w:szCs w:val="24"/>
          <w:lang w:val="es-ES"/>
        </w:rPr>
      </w:pPr>
      <w:r w:rsidRPr="00BA16F2">
        <w:rPr>
          <w:rFonts w:cs="Times New Roman"/>
          <w:szCs w:val="24"/>
          <w:lang w:val="es-ES"/>
        </w:rPr>
        <w:t>La verdadera riqueza de una nación reside en su gente. Y el propósito del desarrollo es crear un entorno propicio para que las personas disfruten de vidas largas, saludables y creativas. Esta verdad, simple pero poderosa, se olvida con demasiada frecuencia en la búsqueda de riqueza material y financiera ( </w:t>
      </w:r>
      <w:hyperlink r:id="rId8" w:anchor="ref-CR105" w:tooltip="ul Haq, M. (1996). Reflexiones sobre el desarrollo humano: cómo el enfoque de la economía del desarrollo pasó de la contabilidad del ingreso nacional a las políticas centradas en las personas. Oxford University Press." w:history="1">
        <w:r w:rsidRPr="00BA16F2">
          <w:rPr>
            <w:rStyle w:val="Hipervnculo"/>
            <w:rFonts w:cs="Times New Roman"/>
            <w:color w:val="000000" w:themeColor="text1"/>
            <w:szCs w:val="24"/>
            <w:lang w:val="es-ES"/>
          </w:rPr>
          <w:t>1996</w:t>
        </w:r>
      </w:hyperlink>
      <w:r w:rsidRPr="00BA16F2">
        <w:rPr>
          <w:rFonts w:cs="Times New Roman"/>
          <w:szCs w:val="24"/>
          <w:lang w:val="es-ES"/>
        </w:rPr>
        <w:t> , p. 15) </w:t>
      </w:r>
      <w:r w:rsidRPr="00BA16F2">
        <w:rPr>
          <w:rFonts w:cs="Times New Roman"/>
          <w:i/>
          <w:iCs/>
          <w:szCs w:val="24"/>
          <w:lang w:val="es-ES"/>
        </w:rPr>
        <w:t>.</w:t>
      </w:r>
    </w:p>
    <w:p w14:paraId="4B9AC4C5" w14:textId="77777777" w:rsidR="00F35B9A" w:rsidRPr="00BA16F2" w:rsidRDefault="00F35B9A" w:rsidP="00F35B9A">
      <w:pPr>
        <w:rPr>
          <w:rFonts w:cs="Times New Roman"/>
          <w:szCs w:val="24"/>
          <w:lang w:val="es-ES"/>
        </w:rPr>
      </w:pPr>
      <w:r w:rsidRPr="00BA16F2">
        <w:rPr>
          <w:rFonts w:cs="Times New Roman"/>
          <w:szCs w:val="24"/>
          <w:lang w:val="es-ES"/>
        </w:rPr>
        <w:t xml:space="preserve">Esta afirmación ilustra el distanciamiento de </w:t>
      </w:r>
      <w:proofErr w:type="spellStart"/>
      <w:r w:rsidRPr="00BA16F2">
        <w:rPr>
          <w:rFonts w:cs="Times New Roman"/>
          <w:szCs w:val="24"/>
          <w:lang w:val="es-ES"/>
        </w:rPr>
        <w:t>ul</w:t>
      </w:r>
      <w:proofErr w:type="spellEnd"/>
      <w:r w:rsidRPr="00BA16F2">
        <w:rPr>
          <w:rFonts w:cs="Times New Roman"/>
          <w:szCs w:val="24"/>
          <w:lang w:val="es-ES"/>
        </w:rPr>
        <w:t xml:space="preserve"> </w:t>
      </w:r>
      <w:proofErr w:type="spellStart"/>
      <w:r w:rsidRPr="00BA16F2">
        <w:rPr>
          <w:rFonts w:cs="Times New Roman"/>
          <w:szCs w:val="24"/>
          <w:lang w:val="es-ES"/>
        </w:rPr>
        <w:t>Haq</w:t>
      </w:r>
      <w:proofErr w:type="spellEnd"/>
      <w:r w:rsidRPr="00BA16F2">
        <w:rPr>
          <w:rFonts w:cs="Times New Roman"/>
          <w:szCs w:val="24"/>
          <w:lang w:val="es-ES"/>
        </w:rPr>
        <w:t xml:space="preserve"> de la riqueza y la productividad económica como base para la evaluación del bienestar social, y también crea una nueva perspectiva sobre el significado del desarrollo: el desarrollo económico no beneficia a todos. El supuesto efecto de goteo de los ricos a los pobres nunca podría garantizarse, argumentaba </w:t>
      </w:r>
      <w:proofErr w:type="spellStart"/>
      <w:r w:rsidRPr="00BA16F2">
        <w:rPr>
          <w:rFonts w:cs="Times New Roman"/>
          <w:szCs w:val="24"/>
          <w:lang w:val="es-ES"/>
        </w:rPr>
        <w:t>ul</w:t>
      </w:r>
      <w:proofErr w:type="spellEnd"/>
      <w:r w:rsidRPr="00BA16F2">
        <w:rPr>
          <w:rFonts w:cs="Times New Roman"/>
          <w:szCs w:val="24"/>
          <w:lang w:val="es-ES"/>
        </w:rPr>
        <w:t xml:space="preserve"> </w:t>
      </w:r>
      <w:proofErr w:type="spellStart"/>
      <w:r w:rsidRPr="00BA16F2">
        <w:rPr>
          <w:rFonts w:cs="Times New Roman"/>
          <w:szCs w:val="24"/>
          <w:lang w:val="es-ES"/>
        </w:rPr>
        <w:t>Haq</w:t>
      </w:r>
      <w:proofErr w:type="spellEnd"/>
      <w:r w:rsidRPr="00BA16F2">
        <w:rPr>
          <w:rFonts w:cs="Times New Roman"/>
          <w:szCs w:val="24"/>
          <w:lang w:val="es-ES"/>
        </w:rPr>
        <w:t xml:space="preserve">, ya que no había garantía de que los ricos apoyaran el gasto en la mejora de la salud, la educación u otros medios de desarrollo humano para los pobres. Además, las medidas nacionales, como el ingreso promedio por persona, son insuficientes para indicar una mejora </w:t>
      </w:r>
      <w:r w:rsidRPr="00BA16F2">
        <w:rPr>
          <w:rFonts w:cs="Times New Roman"/>
          <w:szCs w:val="24"/>
          <w:lang w:val="es-ES"/>
        </w:rPr>
        <w:lastRenderedPageBreak/>
        <w:t>en la calidad de vida de los más pobres, dado que factores como los niveles de alfabetización y la esperanza de vida son fundamentales para mejorar las oportunidades de vida.</w:t>
      </w:r>
    </w:p>
    <w:p w14:paraId="0B7B9B20" w14:textId="77777777" w:rsidR="00F35B9A" w:rsidRPr="00BA16F2" w:rsidRDefault="00F35B9A" w:rsidP="00F35B9A">
      <w:pPr>
        <w:rPr>
          <w:rFonts w:cs="Times New Roman"/>
          <w:szCs w:val="24"/>
          <w:lang w:val="es-ES"/>
        </w:rPr>
      </w:pPr>
      <w:r w:rsidRPr="00BA16F2">
        <w:rPr>
          <w:rFonts w:cs="Times New Roman"/>
          <w:szCs w:val="24"/>
          <w:lang w:val="es-ES"/>
        </w:rPr>
        <w:t xml:space="preserve">Tras estudiar en Pakistán, el Reino Unido y Estados Unidos, </w:t>
      </w:r>
      <w:proofErr w:type="spellStart"/>
      <w:r w:rsidRPr="00BA16F2">
        <w:rPr>
          <w:rFonts w:cs="Times New Roman"/>
          <w:szCs w:val="24"/>
          <w:lang w:val="es-ES"/>
        </w:rPr>
        <w:t>Ul</w:t>
      </w:r>
      <w:proofErr w:type="spellEnd"/>
      <w:r w:rsidRPr="00BA16F2">
        <w:rPr>
          <w:rFonts w:cs="Times New Roman"/>
          <w:szCs w:val="24"/>
          <w:lang w:val="es-ES"/>
        </w:rPr>
        <w:t xml:space="preserve"> </w:t>
      </w:r>
      <w:proofErr w:type="spellStart"/>
      <w:r w:rsidRPr="00BA16F2">
        <w:rPr>
          <w:rFonts w:cs="Times New Roman"/>
          <w:szCs w:val="24"/>
          <w:lang w:val="es-ES"/>
        </w:rPr>
        <w:t>Haq</w:t>
      </w:r>
      <w:proofErr w:type="spellEnd"/>
      <w:r w:rsidRPr="00BA16F2">
        <w:rPr>
          <w:rFonts w:cs="Times New Roman"/>
          <w:szCs w:val="24"/>
          <w:lang w:val="es-ES"/>
        </w:rPr>
        <w:t xml:space="preserve"> no se limitó a la academia para desarrollar nuevas perspectivas sobre el desarrollo: trabajó para el gobierno pakistaní como Ministro de Finanzas. Frustrado porque, tras la independencia, 22 familias prominentes de Pakistán disfrutaron del 66% de la expansión económica del país en la década de 1960, se unió al Banco Mundial antes de incorporarse al PNUD en 1989 con un equipo de economistas, entre ellos Amartya Sen, quien contribuyó a definir los fundamentos filosóficos de su trabajo, junto con la CA. </w:t>
      </w:r>
      <w:proofErr w:type="spellStart"/>
      <w:r w:rsidRPr="00BA16F2">
        <w:rPr>
          <w:rFonts w:cs="Times New Roman"/>
          <w:szCs w:val="24"/>
          <w:lang w:val="es-ES"/>
        </w:rPr>
        <w:t>Ul</w:t>
      </w:r>
      <w:proofErr w:type="spellEnd"/>
      <w:r w:rsidRPr="00BA16F2">
        <w:rPr>
          <w:rFonts w:cs="Times New Roman"/>
          <w:szCs w:val="24"/>
          <w:lang w:val="es-ES"/>
        </w:rPr>
        <w:t xml:space="preserve"> </w:t>
      </w:r>
      <w:proofErr w:type="spellStart"/>
      <w:r w:rsidRPr="00BA16F2">
        <w:rPr>
          <w:rFonts w:cs="Times New Roman"/>
          <w:szCs w:val="24"/>
          <w:lang w:val="es-ES"/>
        </w:rPr>
        <w:t>Haq</w:t>
      </w:r>
      <w:proofErr w:type="spellEnd"/>
      <w:r w:rsidRPr="00BA16F2">
        <w:rPr>
          <w:rFonts w:cs="Times New Roman"/>
          <w:szCs w:val="24"/>
          <w:lang w:val="es-ES"/>
        </w:rPr>
        <w:t xml:space="preserve"> lideró el equipo que elaboró ​​el primer Informe sobre Desarrollo Humano del PNUD en 1990, que se ha publicado anualmente desde entonces. </w:t>
      </w:r>
      <w:proofErr w:type="spellStart"/>
      <w:r w:rsidRPr="00BA16F2">
        <w:rPr>
          <w:rFonts w:cs="Times New Roman"/>
          <w:szCs w:val="24"/>
          <w:lang w:val="es-ES"/>
        </w:rPr>
        <w:t>Ul</w:t>
      </w:r>
      <w:proofErr w:type="spellEnd"/>
      <w:r w:rsidRPr="00BA16F2">
        <w:rPr>
          <w:rFonts w:cs="Times New Roman"/>
          <w:szCs w:val="24"/>
          <w:lang w:val="es-ES"/>
        </w:rPr>
        <w:t xml:space="preserve"> </w:t>
      </w:r>
      <w:proofErr w:type="spellStart"/>
      <w:r w:rsidRPr="00BA16F2">
        <w:rPr>
          <w:rFonts w:cs="Times New Roman"/>
          <w:szCs w:val="24"/>
          <w:lang w:val="es-ES"/>
        </w:rPr>
        <w:t>Haq</w:t>
      </w:r>
      <w:proofErr w:type="spellEnd"/>
      <w:r w:rsidRPr="00BA16F2">
        <w:rPr>
          <w:rFonts w:cs="Times New Roman"/>
          <w:szCs w:val="24"/>
          <w:lang w:val="es-ES"/>
        </w:rPr>
        <w:t xml:space="preserve"> también ha defendido que muchas instituciones, incluidas la ONU y el Banco Mundial, debían pasar de centrarse en la renta nacional a políticas centradas en las personas y, en general, replantearse la gobernanza global. Asimismo, </w:t>
      </w:r>
      <w:proofErr w:type="spellStart"/>
      <w:r w:rsidRPr="00BA16F2">
        <w:rPr>
          <w:rFonts w:cs="Times New Roman"/>
          <w:szCs w:val="24"/>
          <w:lang w:val="es-ES"/>
        </w:rPr>
        <w:t>Ul</w:t>
      </w:r>
      <w:proofErr w:type="spellEnd"/>
      <w:r w:rsidRPr="00BA16F2">
        <w:rPr>
          <w:rFonts w:cs="Times New Roman"/>
          <w:szCs w:val="24"/>
          <w:lang w:val="es-ES"/>
        </w:rPr>
        <w:t xml:space="preserve"> </w:t>
      </w:r>
      <w:proofErr w:type="spellStart"/>
      <w:r w:rsidRPr="00BA16F2">
        <w:rPr>
          <w:rFonts w:cs="Times New Roman"/>
          <w:szCs w:val="24"/>
          <w:lang w:val="es-ES"/>
        </w:rPr>
        <w:t>Haq</w:t>
      </w:r>
      <w:proofErr w:type="spellEnd"/>
      <w:r w:rsidRPr="00BA16F2">
        <w:rPr>
          <w:rFonts w:cs="Times New Roman"/>
          <w:szCs w:val="24"/>
          <w:lang w:val="es-ES"/>
        </w:rPr>
        <w:t xml:space="preserve"> reconoció la importancia de una correcta medición del desarrollo humano, para que los fondos pudieran destinarse a instituciones que apoyaran la mejora de la calidad de vida. El resultado fue el Índice de Desarrollo Humano (IDH), que incluye tres indicadores clave: prosperidad económica, nivel educativo y esperanza de vida, fundamentales para una visión más integral del desarrollo nacional. Los Objetivos de Desarrollo del Milenio de la ONU y los actuales Objetivos de Desarrollo Sostenible de la ONU, ambos concebidos para reducir drásticamente el número de personas que viven en la pobreza extrema, tienen su origen en el Análisis Contributivo (AC) y en la visión de </w:t>
      </w:r>
      <w:proofErr w:type="spellStart"/>
      <w:r w:rsidRPr="00BA16F2">
        <w:rPr>
          <w:rFonts w:cs="Times New Roman"/>
          <w:szCs w:val="24"/>
          <w:lang w:val="es-ES"/>
        </w:rPr>
        <w:t>ul</w:t>
      </w:r>
      <w:proofErr w:type="spellEnd"/>
      <w:r w:rsidRPr="00BA16F2">
        <w:rPr>
          <w:rFonts w:cs="Times New Roman"/>
          <w:szCs w:val="24"/>
          <w:lang w:val="es-ES"/>
        </w:rPr>
        <w:t xml:space="preserve"> </w:t>
      </w:r>
      <w:proofErr w:type="spellStart"/>
      <w:r w:rsidRPr="00BA16F2">
        <w:rPr>
          <w:rFonts w:cs="Times New Roman"/>
          <w:szCs w:val="24"/>
          <w:lang w:val="es-ES"/>
        </w:rPr>
        <w:t>Haq</w:t>
      </w:r>
      <w:proofErr w:type="spellEnd"/>
      <w:r w:rsidRPr="00BA16F2">
        <w:rPr>
          <w:rFonts w:cs="Times New Roman"/>
          <w:szCs w:val="24"/>
          <w:lang w:val="es-ES"/>
        </w:rPr>
        <w:t xml:space="preserve"> sobre la importancia de una medición rigurosa pero concisa. Si bien las fórmulas que sustentan los tres factores principales del IDH se actualizaron (en 2010), el IDH sigue vigente. Organizaciones que </w:t>
      </w:r>
      <w:proofErr w:type="spellStart"/>
      <w:r w:rsidRPr="00BA16F2">
        <w:rPr>
          <w:rFonts w:cs="Times New Roman"/>
          <w:szCs w:val="24"/>
          <w:lang w:val="es-ES"/>
        </w:rPr>
        <w:t>ul</w:t>
      </w:r>
      <w:proofErr w:type="spellEnd"/>
      <w:r w:rsidRPr="00BA16F2">
        <w:rPr>
          <w:rFonts w:cs="Times New Roman"/>
          <w:szCs w:val="24"/>
          <w:lang w:val="es-ES"/>
        </w:rPr>
        <w:t xml:space="preserve"> </w:t>
      </w:r>
      <w:proofErr w:type="spellStart"/>
      <w:r w:rsidRPr="00BA16F2">
        <w:rPr>
          <w:rFonts w:cs="Times New Roman"/>
          <w:szCs w:val="24"/>
          <w:lang w:val="es-ES"/>
        </w:rPr>
        <w:t>Haq</w:t>
      </w:r>
      <w:proofErr w:type="spellEnd"/>
      <w:r w:rsidRPr="00BA16F2">
        <w:rPr>
          <w:rFonts w:cs="Times New Roman"/>
          <w:szCs w:val="24"/>
          <w:lang w:val="es-ES"/>
        </w:rPr>
        <w:t xml:space="preserve"> criticó por sus medidas de desarrollo </w:t>
      </w:r>
      <w:r w:rsidRPr="00BA16F2">
        <w:rPr>
          <w:rFonts w:cs="Times New Roman"/>
          <w:szCs w:val="24"/>
          <w:lang w:val="es-ES"/>
        </w:rPr>
        <w:lastRenderedPageBreak/>
        <w:t>y necesidades, como el Banco Mundial y el Fondo Monetario Internacional, han adoptado su pensamiento y, por ende, los principios subyacentes del AC.</w:t>
      </w:r>
    </w:p>
    <w:p w14:paraId="1FFAE123" w14:textId="77777777" w:rsidR="00F35B9A" w:rsidRPr="00BA16F2" w:rsidRDefault="00F35B9A" w:rsidP="00F35B9A">
      <w:pPr>
        <w:rPr>
          <w:rFonts w:cs="Times New Roman"/>
          <w:szCs w:val="24"/>
          <w:lang w:val="es-ES"/>
        </w:rPr>
      </w:pPr>
      <w:r w:rsidRPr="00BA16F2">
        <w:rPr>
          <w:rFonts w:cs="Times New Roman"/>
          <w:b/>
          <w:bCs/>
          <w:szCs w:val="24"/>
          <w:lang w:val="es-ES"/>
        </w:rPr>
        <w:t>El enfoque de las capacidades, la responsabilidad social corporativa y la gobernanza organizacional y global.</w:t>
      </w:r>
    </w:p>
    <w:p w14:paraId="769BAC44" w14:textId="77777777" w:rsidR="00F35B9A" w:rsidRPr="00BA16F2" w:rsidRDefault="00F35B9A" w:rsidP="00F35B9A">
      <w:pPr>
        <w:rPr>
          <w:rFonts w:cs="Times New Roman"/>
          <w:szCs w:val="24"/>
          <w:lang w:val="es-ES"/>
        </w:rPr>
      </w:pPr>
      <w:r w:rsidRPr="00BA16F2">
        <w:rPr>
          <w:rFonts w:cs="Times New Roman"/>
          <w:szCs w:val="24"/>
          <w:lang w:val="es-ES"/>
        </w:rPr>
        <w:t>Aunque el análisis conversacional (AC) se desarrolló originalmente en el contexto del bienestar y la economía del desarrollo, muchos han aprovechado su potencial para una aplicación más amplia. Junto con mis colegas, desarrollé ideas sobre el potencial del AC para mejorar la comprensión de la desigualdad en el ámbito laboral, así como para comprender mejor los desafíos del desarrollo comunitario y cómo se podría evaluar a las organizaciones de los sectores público, privado y social en función de su impacto en el funcionamiento real de las personas y las comunidades.</w:t>
      </w:r>
    </w:p>
    <w:p w14:paraId="4D2CA184" w14:textId="77777777" w:rsidR="00F35B9A" w:rsidRPr="00BA16F2" w:rsidRDefault="00F35B9A" w:rsidP="00F35B9A">
      <w:pPr>
        <w:rPr>
          <w:rFonts w:cs="Times New Roman"/>
          <w:szCs w:val="24"/>
          <w:lang w:val="es-ES"/>
        </w:rPr>
      </w:pPr>
      <w:r w:rsidRPr="00BA16F2">
        <w:rPr>
          <w:rFonts w:cs="Times New Roman"/>
          <w:szCs w:val="24"/>
          <w:lang w:val="es-ES"/>
        </w:rPr>
        <w:t xml:space="preserve">En la revista </w:t>
      </w:r>
      <w:proofErr w:type="spellStart"/>
      <w:r w:rsidRPr="00BA16F2">
        <w:rPr>
          <w:rFonts w:cs="Times New Roman"/>
          <w:szCs w:val="24"/>
          <w:lang w:val="es-ES"/>
        </w:rPr>
        <w:t>Journal</w:t>
      </w:r>
      <w:proofErr w:type="spellEnd"/>
      <w:r w:rsidRPr="00BA16F2">
        <w:rPr>
          <w:rFonts w:cs="Times New Roman"/>
          <w:szCs w:val="24"/>
          <w:lang w:val="es-ES"/>
        </w:rPr>
        <w:t xml:space="preserve"> </w:t>
      </w:r>
      <w:proofErr w:type="spellStart"/>
      <w:r w:rsidRPr="00BA16F2">
        <w:rPr>
          <w:rFonts w:cs="Times New Roman"/>
          <w:szCs w:val="24"/>
          <w:lang w:val="es-ES"/>
        </w:rPr>
        <w:t>of</w:t>
      </w:r>
      <w:proofErr w:type="spellEnd"/>
      <w:r w:rsidRPr="00BA16F2">
        <w:rPr>
          <w:rFonts w:cs="Times New Roman"/>
          <w:szCs w:val="24"/>
          <w:lang w:val="es-ES"/>
        </w:rPr>
        <w:t xml:space="preserve"> Business </w:t>
      </w:r>
      <w:proofErr w:type="spellStart"/>
      <w:r w:rsidRPr="00BA16F2">
        <w:rPr>
          <w:rFonts w:cs="Times New Roman"/>
          <w:szCs w:val="24"/>
          <w:lang w:val="es-ES"/>
        </w:rPr>
        <w:t>Ethics</w:t>
      </w:r>
      <w:proofErr w:type="spellEnd"/>
      <w:r w:rsidRPr="00BA16F2">
        <w:rPr>
          <w:rFonts w:cs="Times New Roman"/>
          <w:szCs w:val="24"/>
          <w:lang w:val="es-ES"/>
        </w:rPr>
        <w:t xml:space="preserve"> se publican alrededor de 100 artículos que exploran, teórica o empíricamente, las aplicaciones del análisis conversacional (AC) en la mayoría de las áreas principales de los negocios y la administración, incluyendo, por supuesto, la economía aplicada a los negocios y los mercados. La aplicación del AC en las organizaciones despierta un claro interés entre los académicos, y la variedad de temas tratados es amplia.</w:t>
      </w:r>
    </w:p>
    <w:p w14:paraId="443D25B0" w14:textId="77777777" w:rsidR="00F35B9A" w:rsidRPr="00BA16F2" w:rsidRDefault="00F35B9A" w:rsidP="00F35B9A">
      <w:pPr>
        <w:rPr>
          <w:rFonts w:cs="Times New Roman"/>
          <w:szCs w:val="24"/>
          <w:lang w:val="es-ES"/>
        </w:rPr>
      </w:pPr>
      <w:r w:rsidRPr="00BA16F2">
        <w:rPr>
          <w:rFonts w:cs="Times New Roman"/>
          <w:szCs w:val="24"/>
          <w:lang w:val="es-ES"/>
        </w:rPr>
        <w:t>Aunque la variedad de temas tratados es amplia e incluye un interés de larga data en cómo la CA puede crear un nuevo enfoque para la teoría y la práctica de la ética empresarial. El artículo de Donaldson de </w:t>
      </w:r>
      <w:hyperlink r:id="rId9" w:anchor="ref-CR30" w:tooltip="Donaldson, T. (2001). La riqueza ética de las naciones. Journal of Business Ethics, 31(1), 25–36." w:history="1">
        <w:r w:rsidRPr="00BA16F2">
          <w:rPr>
            <w:rStyle w:val="Hipervnculo"/>
            <w:rFonts w:cs="Times New Roman"/>
            <w:color w:val="000000" w:themeColor="text1"/>
            <w:szCs w:val="24"/>
            <w:lang w:val="es-ES"/>
          </w:rPr>
          <w:t>2001</w:t>
        </w:r>
      </w:hyperlink>
      <w:r w:rsidRPr="00BA16F2">
        <w:rPr>
          <w:rFonts w:cs="Times New Roman"/>
          <w:szCs w:val="24"/>
          <w:lang w:val="es-ES"/>
        </w:rPr>
        <w:t> , "La riqueza ética de las naciones", argumenta que.</w:t>
      </w:r>
    </w:p>
    <w:p w14:paraId="78DB9784" w14:textId="77777777" w:rsidR="00F35B9A" w:rsidRPr="00BA16F2" w:rsidRDefault="00F35B9A" w:rsidP="00F35B9A">
      <w:pPr>
        <w:rPr>
          <w:rFonts w:cs="Times New Roman"/>
          <w:szCs w:val="24"/>
          <w:lang w:val="es-ES"/>
        </w:rPr>
      </w:pPr>
      <w:r w:rsidRPr="00BA16F2">
        <w:rPr>
          <w:rFonts w:cs="Times New Roman"/>
          <w:szCs w:val="24"/>
          <w:lang w:val="es-ES"/>
        </w:rPr>
        <w:t xml:space="preserve">La moralidad puede generar ventajas económicas para las naciones que van más allá de la noción de un mercado idealizado; y para que la ética impulse el beneficio económico, los conceptos éticos deben alcanzar un valor intrínseco; y si las afirmaciones sobre los </w:t>
      </w:r>
      <w:r w:rsidRPr="00BA16F2">
        <w:rPr>
          <w:rFonts w:cs="Times New Roman"/>
          <w:szCs w:val="24"/>
          <w:lang w:val="es-ES"/>
        </w:rPr>
        <w:lastRenderedPageBreak/>
        <w:t>factores de éxito ético nacional son ciertas, entonces las naciones deberían prestar atención a la cuestión de la educación moral. (p. 25)</w:t>
      </w:r>
    </w:p>
    <w:p w14:paraId="1B50A734" w14:textId="77777777" w:rsidR="00F35B9A" w:rsidRPr="00BA16F2" w:rsidRDefault="00F35B9A" w:rsidP="00F35B9A">
      <w:pPr>
        <w:rPr>
          <w:rFonts w:cs="Times New Roman"/>
          <w:szCs w:val="24"/>
          <w:lang w:val="es-ES"/>
        </w:rPr>
      </w:pPr>
      <w:r w:rsidRPr="00BA16F2">
        <w:rPr>
          <w:rFonts w:cs="Times New Roman"/>
          <w:szCs w:val="24"/>
          <w:lang w:val="es-ES"/>
        </w:rPr>
        <w:t xml:space="preserve">Donaldson se basa en Rawls y, en particular, en Sen para argumentar a favor de la importancia del escrutinio ético de las ideas, que durante algún tiempo se han dado por sentadas entre los académicos de economía, negocios y administración. Además de defender que la moralidad sea el eje central de la creación ética de riqueza, otros académicos han analizado con mayor detenimiento la aplicación del análisis contable a la responsabilidad social corporativa y la gobernanza global, especialmente entre los grupos marginados y pobres. </w:t>
      </w:r>
      <w:proofErr w:type="spellStart"/>
      <w:r w:rsidRPr="00BA16F2">
        <w:rPr>
          <w:rFonts w:cs="Times New Roman"/>
          <w:szCs w:val="24"/>
          <w:lang w:val="es-ES"/>
        </w:rPr>
        <w:t>Fia</w:t>
      </w:r>
      <w:proofErr w:type="spellEnd"/>
      <w:r w:rsidRPr="00BA16F2">
        <w:rPr>
          <w:rFonts w:cs="Times New Roman"/>
          <w:szCs w:val="24"/>
          <w:lang w:val="es-ES"/>
        </w:rPr>
        <w:t xml:space="preserve"> y </w:t>
      </w:r>
      <w:proofErr w:type="spellStart"/>
      <w:r w:rsidRPr="00BA16F2">
        <w:rPr>
          <w:rFonts w:cs="Times New Roman"/>
          <w:szCs w:val="24"/>
          <w:lang w:val="es-ES"/>
        </w:rPr>
        <w:t>Sacconi</w:t>
      </w:r>
      <w:proofErr w:type="spellEnd"/>
      <w:r w:rsidRPr="00BA16F2">
        <w:rPr>
          <w:rFonts w:cs="Times New Roman"/>
          <w:szCs w:val="24"/>
          <w:lang w:val="es-ES"/>
        </w:rPr>
        <w:t xml:space="preserve"> ( </w:t>
      </w:r>
      <w:hyperlink r:id="rId10" w:anchor="ref-CR39" w:tooltip="Fia, M., &amp; Sacconi, L. (2019). Justicia y gobierno corporativo: Nuevas perspectivas desde el contrato social rawlsiano y el enfoque de capacidades de Sen. Journal of Business Ethics, 160(5), 937–960." w:history="1">
        <w:r w:rsidRPr="00BA16F2">
          <w:rPr>
            <w:rStyle w:val="Hipervnculo"/>
            <w:rFonts w:cs="Times New Roman"/>
            <w:color w:val="000000" w:themeColor="text1"/>
            <w:szCs w:val="24"/>
            <w:lang w:val="es-ES"/>
          </w:rPr>
          <w:t>2019</w:t>
        </w:r>
      </w:hyperlink>
      <w:r w:rsidRPr="00BA16F2">
        <w:rPr>
          <w:rFonts w:cs="Times New Roman"/>
          <w:szCs w:val="24"/>
          <w:lang w:val="es-ES"/>
        </w:rPr>
        <w:t> ) van más allá, utilizando el análisis contable para proponer nuevas formas de desarrollar la justicia social basada en los derechos, incluyendo la responsabilidad de las empresas.</w:t>
      </w:r>
    </w:p>
    <w:p w14:paraId="002B404C" w14:textId="77777777" w:rsidR="00F35B9A" w:rsidRPr="00BA16F2" w:rsidRDefault="00F35B9A" w:rsidP="00F35B9A">
      <w:pPr>
        <w:rPr>
          <w:rFonts w:cs="Times New Roman"/>
          <w:szCs w:val="24"/>
          <w:lang w:val="es-ES"/>
        </w:rPr>
      </w:pPr>
      <w:r w:rsidRPr="00BA16F2">
        <w:rPr>
          <w:rFonts w:cs="Times New Roman"/>
          <w:szCs w:val="24"/>
          <w:lang w:val="es-ES"/>
        </w:rPr>
        <w:t xml:space="preserve">Sin embargo, </w:t>
      </w:r>
      <w:proofErr w:type="spellStart"/>
      <w:r w:rsidRPr="00BA16F2">
        <w:rPr>
          <w:rFonts w:cs="Times New Roman"/>
          <w:szCs w:val="24"/>
          <w:lang w:val="es-ES"/>
        </w:rPr>
        <w:t>Kalfagianni</w:t>
      </w:r>
      <w:proofErr w:type="spellEnd"/>
      <w:r w:rsidRPr="00BA16F2">
        <w:rPr>
          <w:rFonts w:cs="Times New Roman"/>
          <w:szCs w:val="24"/>
          <w:lang w:val="es-ES"/>
        </w:rPr>
        <w:t xml:space="preserve"> ( </w:t>
      </w:r>
      <w:hyperlink r:id="rId11" w:anchor="ref-CR63" w:tooltip="Kalfagianni, A. (2014). Abordar el desafío global de la sostenibilidad: El potencial y los escollos de la gobernanza privada desde la perspectiva de las capacidades humanas. Journal of Business Ethics, 122(2), 307–320." w:history="1">
        <w:r w:rsidRPr="00BA16F2">
          <w:rPr>
            <w:rStyle w:val="Hipervnculo"/>
            <w:rFonts w:cs="Times New Roman"/>
            <w:color w:val="000000" w:themeColor="text1"/>
            <w:szCs w:val="24"/>
            <w:lang w:val="es-ES"/>
          </w:rPr>
          <w:t>2014</w:t>
        </w:r>
      </w:hyperlink>
      <w:r w:rsidRPr="00BA16F2">
        <w:rPr>
          <w:rFonts w:cs="Times New Roman"/>
          <w:szCs w:val="24"/>
          <w:lang w:val="es-ES"/>
        </w:rPr>
        <w:t xml:space="preserve"> ) expresa una nota de cautela, argumentando que un análisis de CA de la gobernanza privada revela que es probable que sea insuficiente cuando se enfrenta a desafíos de sostenibilidad global y a una creciente demanda de bienes (por ejemplo, agronegocios), siendo más probable que las estructuras y la orientación </w:t>
      </w:r>
      <w:proofErr w:type="spellStart"/>
      <w:r w:rsidRPr="00BA16F2">
        <w:rPr>
          <w:rFonts w:cs="Times New Roman"/>
          <w:szCs w:val="24"/>
          <w:lang w:val="es-ES"/>
        </w:rPr>
        <w:t>supragubernamentales</w:t>
      </w:r>
      <w:proofErr w:type="spellEnd"/>
      <w:r w:rsidRPr="00BA16F2">
        <w:rPr>
          <w:rFonts w:cs="Times New Roman"/>
          <w:szCs w:val="24"/>
          <w:lang w:val="es-ES"/>
        </w:rPr>
        <w:t xml:space="preserve"> produzcan resultados positivos. De hecho, en el campo, </w:t>
      </w:r>
      <w:proofErr w:type="spellStart"/>
      <w:r w:rsidRPr="00BA16F2">
        <w:rPr>
          <w:rFonts w:cs="Times New Roman"/>
          <w:szCs w:val="24"/>
          <w:lang w:val="es-ES"/>
        </w:rPr>
        <w:t>Alamgir</w:t>
      </w:r>
      <w:proofErr w:type="spellEnd"/>
      <w:r w:rsidRPr="00BA16F2">
        <w:rPr>
          <w:rFonts w:cs="Times New Roman"/>
          <w:szCs w:val="24"/>
          <w:lang w:val="es-ES"/>
        </w:rPr>
        <w:t xml:space="preserve"> y </w:t>
      </w:r>
      <w:proofErr w:type="spellStart"/>
      <w:r w:rsidRPr="00BA16F2">
        <w:rPr>
          <w:rFonts w:cs="Times New Roman"/>
          <w:szCs w:val="24"/>
          <w:lang w:val="es-ES"/>
        </w:rPr>
        <w:t>Alakavuklar</w:t>
      </w:r>
      <w:proofErr w:type="spellEnd"/>
      <w:r w:rsidRPr="00BA16F2">
        <w:rPr>
          <w:rFonts w:cs="Times New Roman"/>
          <w:szCs w:val="24"/>
          <w:lang w:val="es-ES"/>
        </w:rPr>
        <w:t xml:space="preserve"> ( </w:t>
      </w:r>
      <w:hyperlink r:id="rId12" w:anchor="ref-CR150" w:tooltip="Alamgir, F., y Alakavuklar, ON (2020). Códigos de cumplimiento y (mala) representación y (falta de) reconocimiento de las trabajadoras en la industria textil de Bangladesh. Journal of Business Ethics, 165(2), 295–310." w:history="1">
        <w:r w:rsidRPr="00BA16F2">
          <w:rPr>
            <w:rStyle w:val="Hipervnculo"/>
            <w:rFonts w:cs="Times New Roman"/>
            <w:color w:val="000000" w:themeColor="text1"/>
            <w:szCs w:val="24"/>
            <w:lang w:val="es-ES"/>
          </w:rPr>
          <w:t>2020</w:t>
        </w:r>
      </w:hyperlink>
      <w:r w:rsidRPr="00BA16F2">
        <w:rPr>
          <w:rFonts w:cs="Times New Roman"/>
          <w:szCs w:val="24"/>
          <w:lang w:val="es-ES"/>
        </w:rPr>
        <w:t xml:space="preserve"> ) han utilizado CA para investigar cómo los fabricantes de ropa globales descuidan los derechos de las mujeres al reconocimiento formal de los empleados, a pesar de las afirmaciones de contratación ética. El trabajo sobre asociaciones intersectoriales (sector público, privado y social) también destaca los desafíos que enfrenta el sector social al intentar trabajar en nombre de las comunidades locales: aunque el sector social fue el más capaz de visibilizar las necesidades y la voz de la comunidad, una perspectiva de CA dejó más claro que la creación de estructuras de gobernanza inclusivas y con una voz abundante era imperativa para que los desafíos de la comunidad no se descuidaran y la influencia de la </w:t>
      </w:r>
      <w:r w:rsidRPr="00BA16F2">
        <w:rPr>
          <w:rFonts w:cs="Times New Roman"/>
          <w:szCs w:val="24"/>
          <w:lang w:val="es-ES"/>
        </w:rPr>
        <w:lastRenderedPageBreak/>
        <w:t>organización social no quedara sumergida bajo el mayor poder y recursos de los sectores público y privado (Cornelius y Wallace, </w:t>
      </w:r>
      <w:hyperlink r:id="rId13" w:anchor="ref-CR17" w:tooltip="Cornelius, N., y Wallace, J. (2011). Asociaciones intersectoriales, regeneración urbana y justicia social. Journal of Business Ethics, 94(Suplemento 1), 71–84." w:history="1">
        <w:r w:rsidRPr="00BA16F2">
          <w:rPr>
            <w:rStyle w:val="Hipervnculo"/>
            <w:rFonts w:cs="Times New Roman"/>
            <w:color w:val="000000" w:themeColor="text1"/>
            <w:szCs w:val="24"/>
            <w:lang w:val="es-ES"/>
          </w:rPr>
          <w:t>2011</w:t>
        </w:r>
      </w:hyperlink>
      <w:r w:rsidRPr="00BA16F2">
        <w:rPr>
          <w:rFonts w:cs="Times New Roman"/>
          <w:szCs w:val="24"/>
          <w:lang w:val="es-ES"/>
        </w:rPr>
        <w:t> ).</w:t>
      </w:r>
    </w:p>
    <w:p w14:paraId="164E6540" w14:textId="77777777" w:rsidR="00F35B9A" w:rsidRPr="00BA16F2" w:rsidRDefault="00F35B9A" w:rsidP="00F35B9A">
      <w:pPr>
        <w:rPr>
          <w:rFonts w:cs="Times New Roman"/>
          <w:szCs w:val="24"/>
          <w:lang w:val="es-ES"/>
        </w:rPr>
      </w:pPr>
      <w:r w:rsidRPr="00BA16F2">
        <w:rPr>
          <w:rFonts w:cs="Times New Roman"/>
          <w:szCs w:val="24"/>
          <w:lang w:val="es-ES"/>
        </w:rPr>
        <w:t>De hecho, González-Cantón et al. ( </w:t>
      </w:r>
      <w:hyperlink r:id="rId14" w:anchor="ref-CR45" w:tooltip="González-Cantón, G., Boulos, S., &amp; Sánchez-Garrido, P. (2019). Explorando el vínculo entre los derechos humanos, el enfoque de capacidades y la responsabilidad corporativa. Journal of Business Ethics, 160(4), 865–879." w:history="1">
        <w:r w:rsidRPr="00BA16F2">
          <w:rPr>
            <w:rStyle w:val="Hipervnculo"/>
            <w:rFonts w:cs="Times New Roman"/>
            <w:color w:val="000000" w:themeColor="text1"/>
            <w:szCs w:val="24"/>
            <w:lang w:val="es-ES"/>
          </w:rPr>
          <w:t>2019</w:t>
        </w:r>
      </w:hyperlink>
      <w:r w:rsidRPr="00BA16F2">
        <w:rPr>
          <w:rFonts w:cs="Times New Roman"/>
          <w:szCs w:val="24"/>
          <w:lang w:val="es-ES"/>
        </w:rPr>
        <w:t xml:space="preserve"> ) consideran que la CA está ganando impulso como teoría de la responsabilidad corporativa y la ética empresarial, y que los Principios Rectores de la ONU se han convertido en un marco fundamental, con los autores desarrollando propuestas para una RSC basada en los derechos que tiene como eje central el respeto a la dignidad humana. La importancia de la CA y las políticas de </w:t>
      </w:r>
      <w:proofErr w:type="spellStart"/>
      <w:r w:rsidRPr="00BA16F2">
        <w:rPr>
          <w:rFonts w:cs="Times New Roman"/>
          <w:szCs w:val="24"/>
          <w:lang w:val="es-ES"/>
        </w:rPr>
        <w:t>supragobernanza</w:t>
      </w:r>
      <w:proofErr w:type="spellEnd"/>
      <w:r w:rsidRPr="00BA16F2">
        <w:rPr>
          <w:rFonts w:cs="Times New Roman"/>
          <w:szCs w:val="24"/>
          <w:lang w:val="es-ES"/>
        </w:rPr>
        <w:t xml:space="preserve"> en relación con la RSC y la gobernanza ha cobrado impulso con el establecimiento de los Objetivos de Desarrollo Sostenible de la ONU y el Marco de Derechos de </w:t>
      </w:r>
      <w:proofErr w:type="spellStart"/>
      <w:r w:rsidRPr="00BA16F2">
        <w:rPr>
          <w:rFonts w:cs="Times New Roman"/>
          <w:szCs w:val="24"/>
          <w:lang w:val="es-ES"/>
        </w:rPr>
        <w:t>Ruggie</w:t>
      </w:r>
      <w:proofErr w:type="spellEnd"/>
      <w:r w:rsidRPr="00BA16F2">
        <w:rPr>
          <w:rFonts w:cs="Times New Roman"/>
          <w:szCs w:val="24"/>
          <w:lang w:val="es-ES"/>
        </w:rPr>
        <w:t>. Pero la relevancia de la CA no se limita solo a las grandes empresas.</w:t>
      </w:r>
    </w:p>
    <w:p w14:paraId="588F0039" w14:textId="77777777" w:rsidR="00F35B9A" w:rsidRPr="00BA16F2" w:rsidRDefault="00F35B9A" w:rsidP="00F35B9A">
      <w:pPr>
        <w:rPr>
          <w:rFonts w:cs="Times New Roman"/>
          <w:szCs w:val="24"/>
          <w:lang w:val="es-ES"/>
        </w:rPr>
      </w:pPr>
      <w:r w:rsidRPr="00BA16F2">
        <w:rPr>
          <w:rFonts w:cs="Times New Roman"/>
          <w:szCs w:val="24"/>
          <w:lang w:val="es-ES"/>
        </w:rPr>
        <w:t xml:space="preserve">El papel de las organizaciones sociales, vital para transmitir necesidades "sobre el terreno", también es vital desde una perspectiva de CA. El trabajo de </w:t>
      </w:r>
      <w:proofErr w:type="spellStart"/>
      <w:r w:rsidRPr="00BA16F2">
        <w:rPr>
          <w:rFonts w:cs="Times New Roman"/>
          <w:szCs w:val="24"/>
          <w:lang w:val="es-ES"/>
        </w:rPr>
        <w:t>Alm</w:t>
      </w:r>
      <w:proofErr w:type="spellEnd"/>
      <w:r w:rsidRPr="00BA16F2">
        <w:rPr>
          <w:rFonts w:cs="Times New Roman"/>
          <w:szCs w:val="24"/>
          <w:lang w:val="es-ES"/>
        </w:rPr>
        <w:t xml:space="preserve"> y </w:t>
      </w:r>
      <w:proofErr w:type="spellStart"/>
      <w:r w:rsidRPr="00BA16F2">
        <w:rPr>
          <w:rFonts w:cs="Times New Roman"/>
          <w:szCs w:val="24"/>
          <w:lang w:val="es-ES"/>
        </w:rPr>
        <w:t>Guttormsen</w:t>
      </w:r>
      <w:proofErr w:type="spellEnd"/>
      <w:r w:rsidRPr="00BA16F2">
        <w:rPr>
          <w:rFonts w:cs="Times New Roman"/>
          <w:szCs w:val="24"/>
          <w:lang w:val="es-ES"/>
        </w:rPr>
        <w:t xml:space="preserve"> ( </w:t>
      </w:r>
      <w:hyperlink r:id="rId15" w:anchor="ref-CR3" w:tooltip="Alm, K., &amp; Guttormsen, DAS (2021). Empoderar las voces de los grupos marginados en la investigación teórica sobre ética empresarial. Journal of Business Ethics. https://doi.org/10.1007/s10551-021-04973-3&#10;                  &#10;                " w:history="1">
        <w:r w:rsidRPr="00BA16F2">
          <w:rPr>
            <w:rStyle w:val="Hipervnculo"/>
            <w:rFonts w:cs="Times New Roman"/>
            <w:color w:val="000000" w:themeColor="text1"/>
            <w:szCs w:val="24"/>
            <w:lang w:val="es-ES"/>
          </w:rPr>
          <w:t>2021</w:t>
        </w:r>
      </w:hyperlink>
      <w:r w:rsidRPr="00BA16F2">
        <w:rPr>
          <w:rFonts w:cs="Times New Roman"/>
          <w:szCs w:val="24"/>
          <w:lang w:val="es-ES"/>
        </w:rPr>
        <w:t> ) sobre comunidades marginadas que trabajan para corporaciones empresariales, y los desafíos de la investigación "rica en voces", utilizando como ejemplo de caso organizaciones sociales para las que la voz de la comunidad es central para dar forma a sus políticas y operaciones, es un vínculo claro con el trabajo de Sen sobre la importancia de la razón pública. El trabajo sobre empresas sociales (ES) también resalta la importancia de políticas claras de RSC que aseguren que no solo creen valor social y bienes sociales de manera responsable, sino que su RSC interna, el comportamiento hacia los empleados y voluntarios también sea socialmente responsable (Cornelius et al., </w:t>
      </w:r>
      <w:hyperlink r:id="rId16" w:anchor="ref-CR16" w:tooltip="Cornelius, N., Todres, M., Janjuha-Jivraj, S., Woods, A., &amp; Wallace, J. (2008). Responsabilidad social corporativa y la empresa social. Journal of Business Ethics, 81(2), 355–370." w:history="1">
        <w:r w:rsidRPr="00BA16F2">
          <w:rPr>
            <w:rStyle w:val="Hipervnculo"/>
            <w:rFonts w:cs="Times New Roman"/>
            <w:color w:val="000000" w:themeColor="text1"/>
            <w:szCs w:val="24"/>
            <w:lang w:val="es-ES"/>
          </w:rPr>
          <w:t>2008</w:t>
        </w:r>
      </w:hyperlink>
      <w:r w:rsidRPr="00BA16F2">
        <w:rPr>
          <w:rFonts w:cs="Times New Roman"/>
          <w:szCs w:val="24"/>
          <w:lang w:val="es-ES"/>
        </w:rPr>
        <w:t xml:space="preserve"> ). Las ES creadas por grupos tradicionalmente desfavorecidos también pueden considerarse inferiores: carecen de la capacidad de crear bienes sociales y públicos robustos y sostenibles. Un estudio basado en CA de dichas organizaciones mostró claramente que estas suposiciones, basadas en una </w:t>
      </w:r>
      <w:r w:rsidRPr="00BA16F2">
        <w:rPr>
          <w:rFonts w:cs="Times New Roman"/>
          <w:szCs w:val="24"/>
          <w:lang w:val="es-ES"/>
        </w:rPr>
        <w:lastRenderedPageBreak/>
        <w:t>perspectiva de "desfavorecidos como menos capaces", eran erróneas (Wallace y Cornelius, </w:t>
      </w:r>
      <w:hyperlink r:id="rId17" w:anchor="ref-CR116" w:tooltip="Wallace, J., &amp; Cornelius, N. (2010). Desarrollo comunitario y regeneración social: Cómo el tercer sector atiende las necesidades de las comunidades BME en ciudades postindustriales. Journal of Business Ethics, 97(Suplemento 1), 43–54." w:history="1">
        <w:r w:rsidRPr="00BA16F2">
          <w:rPr>
            <w:rStyle w:val="Hipervnculo"/>
            <w:rFonts w:cs="Times New Roman"/>
            <w:color w:val="000000" w:themeColor="text1"/>
            <w:szCs w:val="24"/>
            <w:lang w:val="es-ES"/>
          </w:rPr>
          <w:t>2010</w:t>
        </w:r>
      </w:hyperlink>
      <w:r w:rsidRPr="00BA16F2">
        <w:rPr>
          <w:rFonts w:cs="Times New Roman"/>
          <w:szCs w:val="24"/>
          <w:lang w:val="es-ES"/>
        </w:rPr>
        <w:t> ).</w:t>
      </w:r>
    </w:p>
    <w:p w14:paraId="010866DB" w14:textId="77777777" w:rsidR="00F35B9A" w:rsidRPr="00BA16F2" w:rsidRDefault="00F35B9A" w:rsidP="00F35B9A">
      <w:pPr>
        <w:rPr>
          <w:rFonts w:cs="Times New Roman"/>
          <w:szCs w:val="24"/>
          <w:lang w:val="es-ES"/>
        </w:rPr>
      </w:pPr>
      <w:r w:rsidRPr="00BA16F2">
        <w:rPr>
          <w:rFonts w:cs="Times New Roman"/>
          <w:szCs w:val="24"/>
          <w:lang w:val="es-ES"/>
        </w:rPr>
        <w:br/>
      </w:r>
    </w:p>
    <w:p w14:paraId="3A5E8493" w14:textId="77777777" w:rsidR="00F35B9A" w:rsidRPr="00BA16F2" w:rsidRDefault="00F35B9A" w:rsidP="00F35B9A">
      <w:pPr>
        <w:rPr>
          <w:rFonts w:cs="Times New Roman"/>
          <w:szCs w:val="24"/>
          <w:lang w:val="es-ES"/>
        </w:rPr>
      </w:pPr>
      <w:r w:rsidRPr="00BA16F2">
        <w:rPr>
          <w:rFonts w:cs="Times New Roman"/>
          <w:b/>
          <w:bCs/>
          <w:szCs w:val="24"/>
          <w:lang w:val="es-ES"/>
        </w:rPr>
        <w:t>Conclusión</w:t>
      </w:r>
    </w:p>
    <w:p w14:paraId="5710CAE7" w14:textId="77777777" w:rsidR="00F35B9A" w:rsidRPr="00BA16F2" w:rsidRDefault="00F35B9A" w:rsidP="00F35B9A">
      <w:pPr>
        <w:rPr>
          <w:rFonts w:cs="Times New Roman"/>
          <w:szCs w:val="24"/>
          <w:lang w:val="es-ES"/>
        </w:rPr>
      </w:pPr>
      <w:r w:rsidRPr="00BA16F2">
        <w:rPr>
          <w:rFonts w:cs="Times New Roman"/>
          <w:szCs w:val="24"/>
          <w:lang w:val="es-ES"/>
        </w:rPr>
        <w:t>El tiempo dirá si las empresas se adhieren a estas políticas basadas en la ONU simplemente con fines de relaciones públicas, o si se producirán cambios más profundos en la gobernanza empresarial y la responsabilidad social. La adopción de los ODS por parte de organismos de contabilidad (por ejemplo, ACCA Global, </w:t>
      </w:r>
      <w:hyperlink r:id="rId18" w:anchor="ref-CR1" w:tooltip="ACCA Global (2017). Los Objetivos de Desarrollo Sostenible: Redefiniendo el contexto, el riesgo y la oportunidad. Recuperado el 22 de marzo de 2022 de https://www.accaglobal.com/hk/en/professional-insights/global-profession/the-sustainable-development-goals.ht" w:history="1">
        <w:r w:rsidRPr="00BA16F2">
          <w:rPr>
            <w:rStyle w:val="Hipervnculo"/>
            <w:rFonts w:cs="Times New Roman"/>
            <w:color w:val="000000" w:themeColor="text1"/>
            <w:szCs w:val="24"/>
            <w:lang w:val="es-ES"/>
          </w:rPr>
          <w:t>2017</w:t>
        </w:r>
      </w:hyperlink>
      <w:r w:rsidRPr="00BA16F2">
        <w:rPr>
          <w:rFonts w:cs="Times New Roman"/>
          <w:szCs w:val="24"/>
          <w:lang w:val="es-ES"/>
        </w:rPr>
        <w:t> ) y consultoras globales, por ejemplo, es un indicio de la importancia de los ODS en las políticas de gobernanza y rendición de cuentas. Es probable que, en un futuro previsible, la contabilidad corporativa siga siendo fundamental para las políticas de desarrollo humano y, cada vez más, para la responsabilidad social corporativa y la gobernanza empresarial.</w:t>
      </w:r>
    </w:p>
    <w:p w14:paraId="3A44DA82" w14:textId="77777777" w:rsidR="00F35B9A" w:rsidRPr="00BA16F2" w:rsidRDefault="00F35B9A" w:rsidP="00E71141">
      <w:pPr>
        <w:rPr>
          <w:rFonts w:cs="Times New Roman"/>
          <w:szCs w:val="24"/>
          <w:lang w:val="es-ES"/>
        </w:rPr>
      </w:pPr>
    </w:p>
    <w:p w14:paraId="7E7F77DA" w14:textId="77777777" w:rsidR="00F35B9A" w:rsidRPr="00BA16F2" w:rsidRDefault="00F35B9A" w:rsidP="001C60B1">
      <w:pPr>
        <w:rPr>
          <w:rFonts w:cs="Times New Roman"/>
          <w:szCs w:val="24"/>
          <w:lang w:val="es-ES"/>
        </w:rPr>
      </w:pPr>
      <w:r w:rsidRPr="00BA16F2">
        <w:rPr>
          <w:rFonts w:cs="Times New Roman"/>
          <w:szCs w:val="24"/>
          <w:lang w:val="es-ES"/>
        </w:rPr>
        <w:t>Pregunta 1</w:t>
      </w:r>
    </w:p>
    <w:p w14:paraId="7B25E319" w14:textId="77777777" w:rsidR="00F35B9A" w:rsidRPr="00BA16F2" w:rsidRDefault="00F35B9A" w:rsidP="001C60B1">
      <w:pPr>
        <w:rPr>
          <w:rFonts w:cs="Times New Roman"/>
          <w:szCs w:val="24"/>
          <w:lang w:val="es-ES"/>
        </w:rPr>
      </w:pPr>
      <w:r w:rsidRPr="00BA16F2">
        <w:rPr>
          <w:rFonts w:cs="Times New Roman"/>
          <w:szCs w:val="24"/>
          <w:lang w:val="es-ES"/>
        </w:rPr>
        <w:t>¿Qué diferencia existe entre medir el desarrollo mediante ingresos económicos y medirlo mediante capacidades humanas?</w:t>
      </w:r>
    </w:p>
    <w:p w14:paraId="77862E7D" w14:textId="77777777" w:rsidR="00F35B9A" w:rsidRPr="00BA16F2" w:rsidRDefault="00F35B9A" w:rsidP="001C60B1">
      <w:pPr>
        <w:rPr>
          <w:rFonts w:cs="Times New Roman"/>
          <w:szCs w:val="24"/>
          <w:lang w:val="es-ES"/>
        </w:rPr>
      </w:pPr>
      <w:r w:rsidRPr="00BA16F2">
        <w:rPr>
          <w:rFonts w:cs="Times New Roman"/>
          <w:szCs w:val="24"/>
          <w:lang w:val="es-ES"/>
        </w:rPr>
        <w:t>Pregunta 2</w:t>
      </w:r>
    </w:p>
    <w:p w14:paraId="71B26DB7" w14:textId="77777777" w:rsidR="00F35B9A" w:rsidRPr="00BA16F2" w:rsidRDefault="00F35B9A" w:rsidP="001C60B1">
      <w:pPr>
        <w:rPr>
          <w:rFonts w:cs="Times New Roman"/>
          <w:szCs w:val="24"/>
          <w:lang w:val="es-ES"/>
        </w:rPr>
      </w:pPr>
      <w:r w:rsidRPr="00BA16F2">
        <w:rPr>
          <w:rFonts w:cs="Times New Roman"/>
          <w:szCs w:val="24"/>
          <w:lang w:val="es-ES"/>
        </w:rPr>
        <w:t>¿Qué factores menciona el texto como esenciales para ampliar las capacidades de las personas?</w:t>
      </w:r>
    </w:p>
    <w:p w14:paraId="6527EC81" w14:textId="77777777" w:rsidR="00F35B9A" w:rsidRPr="00BA16F2" w:rsidRDefault="00F35B9A" w:rsidP="001C60B1">
      <w:pPr>
        <w:tabs>
          <w:tab w:val="left" w:pos="2190"/>
        </w:tabs>
        <w:rPr>
          <w:rFonts w:cs="Times New Roman"/>
          <w:szCs w:val="24"/>
          <w:lang w:val="es-ES"/>
        </w:rPr>
      </w:pPr>
      <w:r w:rsidRPr="00BA16F2">
        <w:rPr>
          <w:rFonts w:cs="Times New Roman"/>
          <w:szCs w:val="24"/>
          <w:lang w:val="es-ES"/>
        </w:rPr>
        <w:t>Pregunta 3</w:t>
      </w:r>
    </w:p>
    <w:p w14:paraId="47A907C6" w14:textId="77777777" w:rsidR="00F35B9A" w:rsidRPr="00BA16F2" w:rsidRDefault="00F35B9A" w:rsidP="001C60B1">
      <w:pPr>
        <w:rPr>
          <w:rFonts w:cs="Times New Roman"/>
          <w:szCs w:val="24"/>
          <w:lang w:val="es-ES"/>
        </w:rPr>
      </w:pPr>
      <w:r w:rsidRPr="00BA16F2">
        <w:rPr>
          <w:rFonts w:cs="Times New Roman"/>
          <w:szCs w:val="24"/>
          <w:lang w:val="es-ES"/>
        </w:rPr>
        <w:t>¿Por qué Amartya Sen considera insuficiente medir el bienestar únicamente mediante indicadores económicos?</w:t>
      </w:r>
    </w:p>
    <w:p w14:paraId="3A9C1AE2" w14:textId="77777777" w:rsidR="00F35B9A" w:rsidRPr="00BA16F2" w:rsidRDefault="00F35B9A" w:rsidP="001C60B1">
      <w:pPr>
        <w:rPr>
          <w:rFonts w:cs="Times New Roman"/>
          <w:szCs w:val="24"/>
          <w:lang w:val="es-ES"/>
        </w:rPr>
      </w:pPr>
      <w:r w:rsidRPr="00BA16F2">
        <w:rPr>
          <w:rFonts w:cs="Times New Roman"/>
          <w:szCs w:val="24"/>
          <w:lang w:val="es-ES"/>
        </w:rPr>
        <w:t>Nivel intermedio</w:t>
      </w:r>
    </w:p>
    <w:p w14:paraId="11C035C8" w14:textId="77777777" w:rsidR="00F35B9A" w:rsidRPr="00BA16F2" w:rsidRDefault="00F35B9A" w:rsidP="001C60B1">
      <w:pPr>
        <w:rPr>
          <w:rFonts w:cs="Times New Roman"/>
          <w:szCs w:val="24"/>
          <w:lang w:val="es-ES"/>
        </w:rPr>
      </w:pPr>
      <w:r w:rsidRPr="00BA16F2">
        <w:rPr>
          <w:rFonts w:cs="Times New Roman"/>
          <w:szCs w:val="24"/>
          <w:lang w:val="es-ES"/>
        </w:rPr>
        <w:lastRenderedPageBreak/>
        <w:t>Pregunta 4</w:t>
      </w:r>
    </w:p>
    <w:p w14:paraId="15DBFFCB" w14:textId="77777777" w:rsidR="00F35B9A" w:rsidRPr="00BA16F2" w:rsidRDefault="00F35B9A" w:rsidP="001C60B1">
      <w:pPr>
        <w:rPr>
          <w:rFonts w:cs="Times New Roman"/>
          <w:szCs w:val="24"/>
          <w:lang w:val="es-ES"/>
        </w:rPr>
      </w:pPr>
      <w:r w:rsidRPr="00BA16F2">
        <w:rPr>
          <w:rFonts w:cs="Times New Roman"/>
          <w:szCs w:val="24"/>
          <w:lang w:val="es-ES"/>
        </w:rPr>
        <w:t>¿Cómo pueden las decisiones de una empresa afectar las capacidades y oportunidades de una comunidad?</w:t>
      </w:r>
    </w:p>
    <w:p w14:paraId="33F0C2D3" w14:textId="77777777" w:rsidR="00F35B9A" w:rsidRPr="00BA16F2" w:rsidRDefault="00F35B9A" w:rsidP="001C60B1">
      <w:pPr>
        <w:rPr>
          <w:rFonts w:cs="Times New Roman"/>
          <w:szCs w:val="24"/>
          <w:lang w:val="es-ES"/>
        </w:rPr>
      </w:pPr>
      <w:r w:rsidRPr="00BA16F2">
        <w:rPr>
          <w:rFonts w:cs="Times New Roman"/>
          <w:szCs w:val="24"/>
          <w:lang w:val="es-ES"/>
        </w:rPr>
        <w:t>Pregunta 5</w:t>
      </w:r>
    </w:p>
    <w:p w14:paraId="366ED558" w14:textId="77777777" w:rsidR="00F35B9A" w:rsidRPr="00BA16F2" w:rsidRDefault="00F35B9A" w:rsidP="001C60B1">
      <w:pPr>
        <w:rPr>
          <w:rFonts w:cs="Times New Roman"/>
          <w:szCs w:val="24"/>
          <w:lang w:val="es-ES"/>
        </w:rPr>
      </w:pPr>
      <w:r w:rsidRPr="00BA16F2">
        <w:rPr>
          <w:rFonts w:cs="Times New Roman"/>
          <w:szCs w:val="24"/>
          <w:lang w:val="es-ES"/>
        </w:rPr>
        <w:t>¿De qué manera la educación y la salud pueden considerarse factores éticos relevantes para la ingeniería?</w:t>
      </w:r>
    </w:p>
    <w:p w14:paraId="54FB6FC1" w14:textId="77777777" w:rsidR="00F35B9A" w:rsidRPr="00BA16F2" w:rsidRDefault="00F35B9A" w:rsidP="001C60B1">
      <w:pPr>
        <w:rPr>
          <w:rFonts w:cs="Times New Roman"/>
          <w:szCs w:val="24"/>
          <w:lang w:val="es-ES"/>
        </w:rPr>
      </w:pPr>
      <w:r w:rsidRPr="00BA16F2">
        <w:rPr>
          <w:rFonts w:cs="Times New Roman"/>
          <w:szCs w:val="24"/>
          <w:lang w:val="es-ES"/>
        </w:rPr>
        <w:t>Pregunta 6</w:t>
      </w:r>
    </w:p>
    <w:p w14:paraId="4CFB1056" w14:textId="77777777" w:rsidR="00F35B9A" w:rsidRPr="00BA16F2" w:rsidRDefault="00F35B9A" w:rsidP="001C60B1">
      <w:pPr>
        <w:rPr>
          <w:rFonts w:cs="Times New Roman"/>
          <w:szCs w:val="24"/>
          <w:lang w:val="es-ES"/>
        </w:rPr>
      </w:pPr>
      <w:r w:rsidRPr="00BA16F2">
        <w:rPr>
          <w:rFonts w:cs="Times New Roman"/>
          <w:szCs w:val="24"/>
          <w:lang w:val="es-ES"/>
        </w:rPr>
        <w:t>¿Es suficiente que una empresa genere empleo para considerarse socialmente responsable? Justifique.</w:t>
      </w:r>
    </w:p>
    <w:p w14:paraId="56AE892F" w14:textId="77777777" w:rsidR="00F35B9A" w:rsidRPr="00BA16F2" w:rsidRDefault="00F35B9A" w:rsidP="001C60B1">
      <w:pPr>
        <w:rPr>
          <w:rFonts w:cs="Times New Roman"/>
          <w:szCs w:val="24"/>
          <w:lang w:val="es-ES"/>
        </w:rPr>
      </w:pPr>
      <w:r w:rsidRPr="00BA16F2">
        <w:rPr>
          <w:rFonts w:cs="Times New Roman"/>
          <w:szCs w:val="24"/>
          <w:lang w:val="es-ES"/>
        </w:rPr>
        <w:t>Pregunta 7</w:t>
      </w:r>
    </w:p>
    <w:p w14:paraId="00D1B708" w14:textId="77777777" w:rsidR="00F35B9A" w:rsidRPr="00BA16F2" w:rsidRDefault="00F35B9A" w:rsidP="001C60B1">
      <w:pPr>
        <w:rPr>
          <w:rFonts w:cs="Times New Roman"/>
          <w:szCs w:val="24"/>
          <w:lang w:val="es-ES"/>
        </w:rPr>
      </w:pPr>
      <w:r w:rsidRPr="00BA16F2">
        <w:rPr>
          <w:rFonts w:cs="Times New Roman"/>
          <w:szCs w:val="24"/>
          <w:lang w:val="es-ES"/>
        </w:rPr>
        <w:t>¿Qué papel desempeñan los derechos humanos en la responsabilidad profesional de las organizaciones?</w:t>
      </w:r>
    </w:p>
    <w:p w14:paraId="0867510D" w14:textId="77777777" w:rsidR="00F35B9A" w:rsidRPr="00BA16F2" w:rsidRDefault="00F35B9A" w:rsidP="001C60B1">
      <w:pPr>
        <w:rPr>
          <w:rFonts w:cs="Times New Roman"/>
          <w:szCs w:val="24"/>
          <w:lang w:val="es-ES"/>
        </w:rPr>
      </w:pPr>
      <w:r w:rsidRPr="00BA16F2">
        <w:rPr>
          <w:rFonts w:cs="Times New Roman"/>
          <w:szCs w:val="24"/>
          <w:lang w:val="es-ES"/>
        </w:rPr>
        <w:t>Nivel avanzado (alineación fuerte con RA4)</w:t>
      </w:r>
    </w:p>
    <w:p w14:paraId="7E9D1A77" w14:textId="77777777" w:rsidR="00F35B9A" w:rsidRPr="00BA16F2" w:rsidRDefault="00F35B9A" w:rsidP="001C60B1">
      <w:pPr>
        <w:rPr>
          <w:rFonts w:cs="Times New Roman"/>
          <w:szCs w:val="24"/>
          <w:lang w:val="es-ES"/>
        </w:rPr>
      </w:pPr>
      <w:r w:rsidRPr="00BA16F2">
        <w:rPr>
          <w:rFonts w:cs="Times New Roman"/>
          <w:szCs w:val="24"/>
          <w:lang w:val="es-ES"/>
        </w:rPr>
        <w:t>Pregunta 8</w:t>
      </w:r>
    </w:p>
    <w:p w14:paraId="6C0D3C27" w14:textId="77777777" w:rsidR="00F35B9A" w:rsidRPr="00BA16F2" w:rsidRDefault="00F35B9A" w:rsidP="001C60B1">
      <w:pPr>
        <w:rPr>
          <w:rFonts w:cs="Times New Roman"/>
          <w:szCs w:val="24"/>
          <w:lang w:val="es-ES"/>
        </w:rPr>
      </w:pPr>
      <w:r w:rsidRPr="00BA16F2">
        <w:rPr>
          <w:rFonts w:cs="Times New Roman"/>
          <w:szCs w:val="24"/>
          <w:lang w:val="es-ES"/>
        </w:rPr>
        <w:t>Imagine que usted es gerente de ingeniería de una empresa minera que genera importantes ingresos económicos para una región, pero limita el acceso al agua potable de las comunidades cercanas.</w:t>
      </w:r>
    </w:p>
    <w:p w14:paraId="52C9A292" w14:textId="77777777" w:rsidR="00F35B9A" w:rsidRPr="00BA16F2" w:rsidRDefault="00F35B9A" w:rsidP="001C60B1">
      <w:pPr>
        <w:rPr>
          <w:rFonts w:cs="Times New Roman"/>
          <w:szCs w:val="24"/>
          <w:lang w:val="es-ES"/>
        </w:rPr>
      </w:pPr>
      <w:r w:rsidRPr="00BA16F2">
        <w:rPr>
          <w:rFonts w:cs="Times New Roman"/>
          <w:szCs w:val="24"/>
          <w:lang w:val="es-ES"/>
        </w:rPr>
        <w:t>Utilizando el Enfoque de Capacidades, ¿cómo evaluaría éticamente esta situación?</w:t>
      </w:r>
    </w:p>
    <w:p w14:paraId="1C6EA55D" w14:textId="77777777" w:rsidR="00B17C66" w:rsidRDefault="00B17C66">
      <w:pPr>
        <w:spacing w:after="160" w:line="259" w:lineRule="auto"/>
        <w:ind w:firstLine="0"/>
        <w:jc w:val="left"/>
        <w:rPr>
          <w:rFonts w:cs="Times New Roman"/>
          <w:szCs w:val="24"/>
          <w:lang w:val="es-ES"/>
        </w:rPr>
      </w:pPr>
      <w:r>
        <w:rPr>
          <w:rFonts w:cs="Times New Roman"/>
          <w:szCs w:val="24"/>
          <w:lang w:val="es-ES"/>
        </w:rPr>
        <w:br w:type="page"/>
      </w:r>
    </w:p>
    <w:p w14:paraId="5BCAB0F5" w14:textId="77777777" w:rsidR="00F35B9A" w:rsidRPr="00B17C66" w:rsidRDefault="00B17C66" w:rsidP="00B17C66">
      <w:pPr>
        <w:jc w:val="center"/>
        <w:rPr>
          <w:rFonts w:cs="Times New Roman"/>
          <w:b/>
          <w:szCs w:val="24"/>
          <w:lang w:val="es-ES"/>
        </w:rPr>
      </w:pPr>
      <w:r w:rsidRPr="00B17C66">
        <w:rPr>
          <w:rFonts w:cs="Times New Roman"/>
          <w:b/>
          <w:szCs w:val="24"/>
          <w:lang w:val="es-ES"/>
        </w:rPr>
        <w:lastRenderedPageBreak/>
        <w:t>Referencias</w:t>
      </w:r>
    </w:p>
    <w:p w14:paraId="09F38E7C" w14:textId="77777777" w:rsidR="00B17C66" w:rsidRPr="00B17C66" w:rsidRDefault="00B17C66" w:rsidP="001C60B1">
      <w:pPr>
        <w:rPr>
          <w:rFonts w:cs="Times New Roman"/>
          <w:szCs w:val="24"/>
        </w:rPr>
      </w:pPr>
      <w:r w:rsidRPr="00B17C66">
        <w:rPr>
          <w:rFonts w:cs="Times New Roman"/>
          <w:szCs w:val="24"/>
          <w:shd w:val="clear" w:color="auto" w:fill="FFFFFF"/>
        </w:rPr>
        <w:t xml:space="preserve">Hess, J. L., </w:t>
      </w:r>
      <w:proofErr w:type="spellStart"/>
      <w:r w:rsidRPr="00B17C66">
        <w:rPr>
          <w:rFonts w:cs="Times New Roman"/>
          <w:szCs w:val="24"/>
          <w:shd w:val="clear" w:color="auto" w:fill="FFFFFF"/>
        </w:rPr>
        <w:t>Beever</w:t>
      </w:r>
      <w:proofErr w:type="spellEnd"/>
      <w:r w:rsidRPr="00B17C66">
        <w:rPr>
          <w:rFonts w:cs="Times New Roman"/>
          <w:szCs w:val="24"/>
          <w:shd w:val="clear" w:color="auto" w:fill="FFFFFF"/>
        </w:rPr>
        <w:t xml:space="preserve">, J., </w:t>
      </w:r>
      <w:proofErr w:type="spellStart"/>
      <w:r w:rsidRPr="00B17C66">
        <w:rPr>
          <w:rFonts w:cs="Times New Roman"/>
          <w:szCs w:val="24"/>
          <w:shd w:val="clear" w:color="auto" w:fill="FFFFFF"/>
        </w:rPr>
        <w:t>Iliadis</w:t>
      </w:r>
      <w:proofErr w:type="spellEnd"/>
      <w:r w:rsidRPr="00B17C66">
        <w:rPr>
          <w:rFonts w:cs="Times New Roman"/>
          <w:szCs w:val="24"/>
          <w:shd w:val="clear" w:color="auto" w:fill="FFFFFF"/>
        </w:rPr>
        <w:t xml:space="preserve">, A., </w:t>
      </w:r>
      <w:proofErr w:type="spellStart"/>
      <w:r w:rsidRPr="00B17C66">
        <w:rPr>
          <w:rFonts w:cs="Times New Roman"/>
          <w:szCs w:val="24"/>
          <w:shd w:val="clear" w:color="auto" w:fill="FFFFFF"/>
        </w:rPr>
        <w:t>Kisselburgh</w:t>
      </w:r>
      <w:proofErr w:type="spellEnd"/>
      <w:r w:rsidRPr="00B17C66">
        <w:rPr>
          <w:rFonts w:cs="Times New Roman"/>
          <w:szCs w:val="24"/>
          <w:shd w:val="clear" w:color="auto" w:fill="FFFFFF"/>
        </w:rPr>
        <w:t xml:space="preserve">, L. G., </w:t>
      </w:r>
      <w:proofErr w:type="spellStart"/>
      <w:r w:rsidRPr="00B17C66">
        <w:rPr>
          <w:rFonts w:cs="Times New Roman"/>
          <w:szCs w:val="24"/>
          <w:shd w:val="clear" w:color="auto" w:fill="FFFFFF"/>
        </w:rPr>
        <w:t>Zoltowski</w:t>
      </w:r>
      <w:proofErr w:type="spellEnd"/>
      <w:r w:rsidRPr="00B17C66">
        <w:rPr>
          <w:rFonts w:cs="Times New Roman"/>
          <w:szCs w:val="24"/>
          <w:shd w:val="clear" w:color="auto" w:fill="FFFFFF"/>
        </w:rPr>
        <w:t xml:space="preserve">, C. B., Krane, M. J., &amp; Brightman, A. O. (2014, October). An ethics transfer case assessment tool for measuring ethical reasoning abilities of engineering students using reflexive </w:t>
      </w:r>
      <w:proofErr w:type="spellStart"/>
      <w:r w:rsidRPr="00B17C66">
        <w:rPr>
          <w:rFonts w:cs="Times New Roman"/>
          <w:szCs w:val="24"/>
          <w:shd w:val="clear" w:color="auto" w:fill="FFFFFF"/>
        </w:rPr>
        <w:t>principlism</w:t>
      </w:r>
      <w:proofErr w:type="spellEnd"/>
      <w:r w:rsidRPr="00B17C66">
        <w:rPr>
          <w:rFonts w:cs="Times New Roman"/>
          <w:szCs w:val="24"/>
          <w:shd w:val="clear" w:color="auto" w:fill="FFFFFF"/>
        </w:rPr>
        <w:t xml:space="preserve"> approach. In </w:t>
      </w:r>
      <w:r w:rsidRPr="00B17C66">
        <w:rPr>
          <w:rFonts w:cs="Times New Roman"/>
          <w:i/>
          <w:iCs/>
          <w:szCs w:val="24"/>
          <w:shd w:val="clear" w:color="auto" w:fill="FFFFFF"/>
        </w:rPr>
        <w:t>2014 IEEE Frontiers in Education Conference (FIE) Proceedings</w:t>
      </w:r>
      <w:r w:rsidRPr="00B17C66">
        <w:rPr>
          <w:rFonts w:cs="Times New Roman"/>
          <w:szCs w:val="24"/>
          <w:shd w:val="clear" w:color="auto" w:fill="FFFFFF"/>
        </w:rPr>
        <w:t> (pp. 1-5). IEEE.</w:t>
      </w:r>
      <w:r w:rsidRPr="00B17C66">
        <w:rPr>
          <w:rFonts w:cs="Times New Roman"/>
          <w:szCs w:val="24"/>
        </w:rPr>
        <w:t xml:space="preserve"> </w:t>
      </w:r>
    </w:p>
    <w:p w14:paraId="5FADD89A" w14:textId="77777777" w:rsidR="00E71141" w:rsidRPr="00BA16F2" w:rsidRDefault="00FE761A" w:rsidP="001C60B1">
      <w:pPr>
        <w:rPr>
          <w:rFonts w:cs="Times New Roman"/>
          <w:szCs w:val="24"/>
        </w:rPr>
      </w:pPr>
      <w:r w:rsidRPr="00BA16F2">
        <w:rPr>
          <w:rFonts w:cs="Times New Roman"/>
          <w:szCs w:val="24"/>
        </w:rPr>
        <w:t>Link: https://link.springer.com/article/10.1007/s10551-022-05239-2</w:t>
      </w:r>
    </w:p>
    <w:sectPr w:rsidR="00E71141" w:rsidRPr="00BA16F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CEA"/>
    <w:rsid w:val="00001B89"/>
    <w:rsid w:val="00085A93"/>
    <w:rsid w:val="001B01B4"/>
    <w:rsid w:val="001C60B1"/>
    <w:rsid w:val="004931A5"/>
    <w:rsid w:val="004A4B6D"/>
    <w:rsid w:val="004B1B05"/>
    <w:rsid w:val="004C2E00"/>
    <w:rsid w:val="00571BC9"/>
    <w:rsid w:val="006217F3"/>
    <w:rsid w:val="00645F53"/>
    <w:rsid w:val="00775210"/>
    <w:rsid w:val="00822C42"/>
    <w:rsid w:val="00952CEA"/>
    <w:rsid w:val="00A86F6A"/>
    <w:rsid w:val="00B17C66"/>
    <w:rsid w:val="00BA16F2"/>
    <w:rsid w:val="00D3573C"/>
    <w:rsid w:val="00DD7816"/>
    <w:rsid w:val="00E71141"/>
    <w:rsid w:val="00E87CE7"/>
    <w:rsid w:val="00F35B9A"/>
    <w:rsid w:val="00FE7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08433"/>
  <w15:chartTrackingRefBased/>
  <w15:docId w15:val="{A3C94F98-B717-4F92-9E5C-8058BA2B2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CEA"/>
    <w:pPr>
      <w:spacing w:after="0" w:line="480" w:lineRule="auto"/>
      <w:ind w:firstLine="720"/>
      <w:jc w:val="both"/>
    </w:pPr>
    <w:rPr>
      <w:rFonts w:ascii="Times New Roman" w:hAnsi="Times New Roman"/>
      <w:color w:val="000000" w:themeColor="text1"/>
      <w:sz w:val="24"/>
    </w:rPr>
  </w:style>
  <w:style w:type="paragraph" w:styleId="Ttulo1">
    <w:name w:val="heading 1"/>
    <w:basedOn w:val="Normal"/>
    <w:next w:val="Normal"/>
    <w:link w:val="Ttulo1Car"/>
    <w:uiPriority w:val="9"/>
    <w:qFormat/>
    <w:rsid w:val="00775210"/>
    <w:pPr>
      <w:keepNext/>
      <w:keepLines/>
      <w:spacing w:before="240"/>
      <w:jc w:val="left"/>
      <w:outlineLvl w:val="0"/>
    </w:pPr>
    <w:rPr>
      <w:rFonts w:eastAsiaTheme="majorEastAsia" w:cstheme="majorBidi"/>
      <w:b/>
      <w:szCs w:val="32"/>
    </w:rPr>
  </w:style>
  <w:style w:type="paragraph" w:styleId="Ttulo2">
    <w:name w:val="heading 2"/>
    <w:basedOn w:val="Normal"/>
    <w:link w:val="Ttulo2Car"/>
    <w:uiPriority w:val="9"/>
    <w:qFormat/>
    <w:rsid w:val="00952CEA"/>
    <w:pPr>
      <w:spacing w:before="100" w:beforeAutospacing="1" w:after="100" w:afterAutospacing="1" w:line="240" w:lineRule="auto"/>
      <w:outlineLvl w:val="1"/>
    </w:pPr>
    <w:rPr>
      <w:rFonts w:eastAsia="Times New Roman" w:cs="Times New Roman"/>
      <w:b/>
      <w:bCs/>
      <w:sz w:val="36"/>
      <w:szCs w:val="36"/>
    </w:rPr>
  </w:style>
  <w:style w:type="paragraph" w:styleId="Ttulo3">
    <w:name w:val="heading 3"/>
    <w:basedOn w:val="Normal"/>
    <w:next w:val="Normal"/>
    <w:link w:val="Ttulo3Car"/>
    <w:uiPriority w:val="9"/>
    <w:semiHidden/>
    <w:unhideWhenUsed/>
    <w:qFormat/>
    <w:rsid w:val="00E71141"/>
    <w:pPr>
      <w:keepNext/>
      <w:keepLines/>
      <w:spacing w:before="40"/>
      <w:outlineLvl w:val="2"/>
    </w:pPr>
    <w:rPr>
      <w:rFonts w:asciiTheme="majorHAnsi" w:eastAsiaTheme="majorEastAsia" w:hAnsiTheme="majorHAnsi" w:cstheme="majorBidi"/>
      <w:color w:val="1F4D78" w:themeColor="accent1" w:themeShade="7F"/>
      <w:szCs w:val="24"/>
    </w:rPr>
  </w:style>
  <w:style w:type="paragraph" w:styleId="Ttulo4">
    <w:name w:val="heading 4"/>
    <w:basedOn w:val="Normal"/>
    <w:next w:val="Normal"/>
    <w:link w:val="Ttulo4Car"/>
    <w:uiPriority w:val="9"/>
    <w:semiHidden/>
    <w:unhideWhenUsed/>
    <w:qFormat/>
    <w:rsid w:val="00085A9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952CE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952CEA"/>
    <w:pPr>
      <w:spacing w:before="100" w:beforeAutospacing="1" w:after="100" w:afterAutospacing="1" w:line="240" w:lineRule="auto"/>
    </w:pPr>
    <w:rPr>
      <w:rFonts w:eastAsia="Times New Roman" w:cs="Times New Roman"/>
      <w:szCs w:val="24"/>
    </w:rPr>
  </w:style>
  <w:style w:type="character" w:customStyle="1" w:styleId="mn">
    <w:name w:val="mn"/>
    <w:basedOn w:val="Fuentedeprrafopredeter"/>
    <w:rsid w:val="00952CEA"/>
  </w:style>
  <w:style w:type="character" w:customStyle="1" w:styleId="mi">
    <w:name w:val="mi"/>
    <w:basedOn w:val="Fuentedeprrafopredeter"/>
    <w:rsid w:val="00952CEA"/>
  </w:style>
  <w:style w:type="character" w:customStyle="1" w:styleId="mo">
    <w:name w:val="mo"/>
    <w:basedOn w:val="Fuentedeprrafopredeter"/>
    <w:rsid w:val="00952CEA"/>
  </w:style>
  <w:style w:type="character" w:styleId="Hipervnculo">
    <w:name w:val="Hyperlink"/>
    <w:basedOn w:val="Fuentedeprrafopredeter"/>
    <w:uiPriority w:val="99"/>
    <w:semiHidden/>
    <w:unhideWhenUsed/>
    <w:rsid w:val="00952CEA"/>
    <w:rPr>
      <w:color w:val="0000FF"/>
      <w:u w:val="single"/>
    </w:rPr>
  </w:style>
  <w:style w:type="character" w:customStyle="1" w:styleId="Ttulo4Car">
    <w:name w:val="Título 4 Car"/>
    <w:basedOn w:val="Fuentedeprrafopredeter"/>
    <w:link w:val="Ttulo4"/>
    <w:uiPriority w:val="9"/>
    <w:semiHidden/>
    <w:rsid w:val="00085A93"/>
    <w:rPr>
      <w:rFonts w:asciiTheme="majorHAnsi" w:eastAsiaTheme="majorEastAsia" w:hAnsiTheme="majorHAnsi" w:cstheme="majorBidi"/>
      <w:i/>
      <w:iCs/>
      <w:color w:val="2E74B5" w:themeColor="accent1" w:themeShade="BF"/>
      <w:sz w:val="24"/>
    </w:rPr>
  </w:style>
  <w:style w:type="character" w:styleId="Textoennegrita">
    <w:name w:val="Strong"/>
    <w:basedOn w:val="Fuentedeprrafopredeter"/>
    <w:uiPriority w:val="22"/>
    <w:qFormat/>
    <w:rsid w:val="00085A93"/>
    <w:rPr>
      <w:b/>
      <w:bCs/>
    </w:rPr>
  </w:style>
  <w:style w:type="character" w:customStyle="1" w:styleId="Ttulo3Car">
    <w:name w:val="Título 3 Car"/>
    <w:basedOn w:val="Fuentedeprrafopredeter"/>
    <w:link w:val="Ttulo3"/>
    <w:uiPriority w:val="9"/>
    <w:semiHidden/>
    <w:rsid w:val="00E71141"/>
    <w:rPr>
      <w:rFonts w:asciiTheme="majorHAnsi" w:eastAsiaTheme="majorEastAsia" w:hAnsiTheme="majorHAnsi" w:cstheme="majorBidi"/>
      <w:color w:val="1F4D78" w:themeColor="accent1" w:themeShade="7F"/>
      <w:sz w:val="24"/>
      <w:szCs w:val="24"/>
    </w:rPr>
  </w:style>
  <w:style w:type="character" w:customStyle="1" w:styleId="Ttulo1Car">
    <w:name w:val="Título 1 Car"/>
    <w:basedOn w:val="Fuentedeprrafopredeter"/>
    <w:link w:val="Ttulo1"/>
    <w:uiPriority w:val="9"/>
    <w:rsid w:val="00775210"/>
    <w:rPr>
      <w:rFonts w:ascii="Times New Roman" w:eastAsiaTheme="majorEastAsia" w:hAnsi="Times New Roman" w:cstheme="majorBidi"/>
      <w:b/>
      <w:color w:val="000000" w:themeColor="text1"/>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301564">
      <w:bodyDiv w:val="1"/>
      <w:marLeft w:val="0"/>
      <w:marRight w:val="0"/>
      <w:marTop w:val="0"/>
      <w:marBottom w:val="0"/>
      <w:divBdr>
        <w:top w:val="none" w:sz="0" w:space="0" w:color="auto"/>
        <w:left w:val="none" w:sz="0" w:space="0" w:color="auto"/>
        <w:bottom w:val="none" w:sz="0" w:space="0" w:color="auto"/>
        <w:right w:val="none" w:sz="0" w:space="0" w:color="auto"/>
      </w:divBdr>
      <w:divsChild>
        <w:div w:id="493911059">
          <w:marLeft w:val="0"/>
          <w:marRight w:val="0"/>
          <w:marTop w:val="0"/>
          <w:marBottom w:val="600"/>
          <w:divBdr>
            <w:top w:val="none" w:sz="0" w:space="0" w:color="auto"/>
            <w:left w:val="none" w:sz="0" w:space="0" w:color="auto"/>
            <w:bottom w:val="none" w:sz="0" w:space="0" w:color="auto"/>
            <w:right w:val="none" w:sz="0" w:space="0" w:color="auto"/>
          </w:divBdr>
          <w:divsChild>
            <w:div w:id="496649272">
              <w:blockQuote w:val="1"/>
              <w:marLeft w:val="0"/>
              <w:marRight w:val="0"/>
              <w:marTop w:val="360"/>
              <w:marBottom w:val="360"/>
              <w:divBdr>
                <w:top w:val="none" w:sz="0" w:space="0" w:color="3C9CD7"/>
                <w:left w:val="single" w:sz="24" w:space="12" w:color="3C9CD7"/>
                <w:bottom w:val="none" w:sz="0" w:space="0" w:color="3C9CD7"/>
                <w:right w:val="none" w:sz="0" w:space="0" w:color="3C9CD7"/>
              </w:divBdr>
              <w:divsChild>
                <w:div w:id="1387530992">
                  <w:marLeft w:val="0"/>
                  <w:marRight w:val="0"/>
                  <w:marTop w:val="0"/>
                  <w:marBottom w:val="0"/>
                  <w:divBdr>
                    <w:top w:val="none" w:sz="0" w:space="0" w:color="auto"/>
                    <w:left w:val="none" w:sz="0" w:space="0" w:color="auto"/>
                    <w:bottom w:val="none" w:sz="0" w:space="0" w:color="auto"/>
                    <w:right w:val="none" w:sz="0" w:space="0" w:color="auto"/>
                  </w:divBdr>
                </w:div>
              </w:divsChild>
            </w:div>
            <w:div w:id="690186895">
              <w:blockQuote w:val="1"/>
              <w:marLeft w:val="0"/>
              <w:marRight w:val="0"/>
              <w:marTop w:val="360"/>
              <w:marBottom w:val="360"/>
              <w:divBdr>
                <w:top w:val="none" w:sz="0" w:space="0" w:color="3C9CD7"/>
                <w:left w:val="single" w:sz="24" w:space="12" w:color="3C9CD7"/>
                <w:bottom w:val="none" w:sz="0" w:space="0" w:color="3C9CD7"/>
                <w:right w:val="none" w:sz="0" w:space="0" w:color="3C9CD7"/>
              </w:divBdr>
              <w:divsChild>
                <w:div w:id="107512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092338">
      <w:bodyDiv w:val="1"/>
      <w:marLeft w:val="0"/>
      <w:marRight w:val="0"/>
      <w:marTop w:val="0"/>
      <w:marBottom w:val="0"/>
      <w:divBdr>
        <w:top w:val="none" w:sz="0" w:space="0" w:color="auto"/>
        <w:left w:val="none" w:sz="0" w:space="0" w:color="auto"/>
        <w:bottom w:val="none" w:sz="0" w:space="0" w:color="auto"/>
        <w:right w:val="none" w:sz="0" w:space="0" w:color="auto"/>
      </w:divBdr>
      <w:divsChild>
        <w:div w:id="1349674606">
          <w:marLeft w:val="0"/>
          <w:marRight w:val="0"/>
          <w:marTop w:val="0"/>
          <w:marBottom w:val="600"/>
          <w:divBdr>
            <w:top w:val="none" w:sz="0" w:space="0" w:color="auto"/>
            <w:left w:val="none" w:sz="0" w:space="0" w:color="auto"/>
            <w:bottom w:val="none" w:sz="0" w:space="0" w:color="auto"/>
            <w:right w:val="none" w:sz="0" w:space="0" w:color="auto"/>
          </w:divBdr>
        </w:div>
      </w:divsChild>
    </w:div>
    <w:div w:id="928926748">
      <w:bodyDiv w:val="1"/>
      <w:marLeft w:val="0"/>
      <w:marRight w:val="0"/>
      <w:marTop w:val="0"/>
      <w:marBottom w:val="0"/>
      <w:divBdr>
        <w:top w:val="none" w:sz="0" w:space="0" w:color="auto"/>
        <w:left w:val="none" w:sz="0" w:space="0" w:color="auto"/>
        <w:bottom w:val="none" w:sz="0" w:space="0" w:color="auto"/>
        <w:right w:val="none" w:sz="0" w:space="0" w:color="auto"/>
      </w:divBdr>
    </w:div>
    <w:div w:id="1360742966">
      <w:bodyDiv w:val="1"/>
      <w:marLeft w:val="0"/>
      <w:marRight w:val="0"/>
      <w:marTop w:val="0"/>
      <w:marBottom w:val="0"/>
      <w:divBdr>
        <w:top w:val="none" w:sz="0" w:space="0" w:color="auto"/>
        <w:left w:val="none" w:sz="0" w:space="0" w:color="auto"/>
        <w:bottom w:val="none" w:sz="0" w:space="0" w:color="auto"/>
        <w:right w:val="none" w:sz="0" w:space="0" w:color="auto"/>
      </w:divBdr>
    </w:div>
    <w:div w:id="1835949711">
      <w:bodyDiv w:val="1"/>
      <w:marLeft w:val="0"/>
      <w:marRight w:val="0"/>
      <w:marTop w:val="0"/>
      <w:marBottom w:val="0"/>
      <w:divBdr>
        <w:top w:val="none" w:sz="0" w:space="0" w:color="auto"/>
        <w:left w:val="none" w:sz="0" w:space="0" w:color="auto"/>
        <w:bottom w:val="none" w:sz="0" w:space="0" w:color="auto"/>
        <w:right w:val="none" w:sz="0" w:space="0" w:color="auto"/>
      </w:divBdr>
    </w:div>
    <w:div w:id="202409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nk.springer.com/article/10.1007/s10551-022-05239-2" TargetMode="External"/><Relationship Id="rId13" Type="http://schemas.openxmlformats.org/officeDocument/2006/relationships/hyperlink" Target="https://link.springer.com/article/10.1007/s10551-022-05239-2" TargetMode="External"/><Relationship Id="rId18" Type="http://schemas.openxmlformats.org/officeDocument/2006/relationships/hyperlink" Target="https://link.springer.com/article/10.1007/s10551-022-05239-2" TargetMode="External"/><Relationship Id="rId3" Type="http://schemas.openxmlformats.org/officeDocument/2006/relationships/webSettings" Target="webSettings.xml"/><Relationship Id="rId7" Type="http://schemas.openxmlformats.org/officeDocument/2006/relationships/hyperlink" Target="https://link.springer.com/article/10.1007/s10551-022-05239-2" TargetMode="External"/><Relationship Id="rId12" Type="http://schemas.openxmlformats.org/officeDocument/2006/relationships/hyperlink" Target="https://link.springer.com/article/10.1007/s10551-022-05239-2" TargetMode="External"/><Relationship Id="rId17" Type="http://schemas.openxmlformats.org/officeDocument/2006/relationships/hyperlink" Target="https://link.springer.com/article/10.1007/s10551-022-05239-2" TargetMode="External"/><Relationship Id="rId2" Type="http://schemas.openxmlformats.org/officeDocument/2006/relationships/settings" Target="settings.xml"/><Relationship Id="rId16" Type="http://schemas.openxmlformats.org/officeDocument/2006/relationships/hyperlink" Target="https://link.springer.com/article/10.1007/s10551-022-05239-2"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ink.springer.com/article/10.1007/s10551-022-05239-2" TargetMode="External"/><Relationship Id="rId11" Type="http://schemas.openxmlformats.org/officeDocument/2006/relationships/hyperlink" Target="https://link.springer.com/article/10.1007/s10551-022-05239-2" TargetMode="External"/><Relationship Id="rId5" Type="http://schemas.openxmlformats.org/officeDocument/2006/relationships/hyperlink" Target="https://link.springer.com/article/10.1007/s10551-022-05239-2" TargetMode="External"/><Relationship Id="rId15" Type="http://schemas.openxmlformats.org/officeDocument/2006/relationships/hyperlink" Target="https://link.springer.com/article/10.1007/s10551-022-05239-2" TargetMode="External"/><Relationship Id="rId10" Type="http://schemas.openxmlformats.org/officeDocument/2006/relationships/hyperlink" Target="https://link.springer.com/article/10.1007/s10551-022-05239-2" TargetMode="External"/><Relationship Id="rId19" Type="http://schemas.openxmlformats.org/officeDocument/2006/relationships/fontTable" Target="fontTable.xml"/><Relationship Id="rId4" Type="http://schemas.openxmlformats.org/officeDocument/2006/relationships/hyperlink" Target="https://link.springer.com/article/10.1007/s10551-022-05239-2" TargetMode="External"/><Relationship Id="rId9" Type="http://schemas.openxmlformats.org/officeDocument/2006/relationships/hyperlink" Target="https://link.springer.com/article/10.1007/s10551-022-05239-2" TargetMode="External"/><Relationship Id="rId14" Type="http://schemas.openxmlformats.org/officeDocument/2006/relationships/hyperlink" Target="https://link.springer.com/article/10.1007/s10551-022-05239-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444</TotalTime>
  <Pages>1</Pages>
  <Words>6528</Words>
  <Characters>35910</Characters>
  <Application>Microsoft Office Word</Application>
  <DocSecurity>0</DocSecurity>
  <Lines>299</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PC EMPRESAS</cp:lastModifiedBy>
  <cp:revision>17</cp:revision>
  <dcterms:created xsi:type="dcterms:W3CDTF">2026-06-09T21:41:00Z</dcterms:created>
  <dcterms:modified xsi:type="dcterms:W3CDTF">2026-07-06T14:16:00Z</dcterms:modified>
</cp:coreProperties>
</file>